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0008" w14:textId="77777777" w:rsidR="00B277C1" w:rsidRDefault="00B277C1" w:rsidP="2B5176B0">
      <w:pPr>
        <w:pStyle w:val="Heading1"/>
        <w:spacing w:before="0" w:line="240" w:lineRule="auto"/>
        <w:rPr>
          <w:rFonts w:ascii="Franklin Gothic Book" w:eastAsia="Franklin Gothic Demi" w:hAnsi="Franklin Gothic Book" w:cs="Franklin Gothic Demi"/>
          <w:bCs/>
          <w:sz w:val="23"/>
          <w:szCs w:val="23"/>
        </w:rPr>
      </w:pPr>
    </w:p>
    <w:p w14:paraId="5CF85E51" w14:textId="77777777" w:rsidR="00B277C1" w:rsidRDefault="00B277C1" w:rsidP="2B5176B0">
      <w:pPr>
        <w:pStyle w:val="Heading1"/>
        <w:spacing w:before="0" w:line="240" w:lineRule="auto"/>
        <w:rPr>
          <w:rFonts w:ascii="Franklin Gothic Book" w:eastAsia="Franklin Gothic Demi" w:hAnsi="Franklin Gothic Book" w:cs="Franklin Gothic Demi"/>
          <w:bCs/>
          <w:sz w:val="23"/>
          <w:szCs w:val="23"/>
        </w:rPr>
      </w:pPr>
    </w:p>
    <w:p w14:paraId="7288A84D" w14:textId="489A27DE" w:rsidR="008B6C52" w:rsidRPr="00B277C1" w:rsidRDefault="008B6C52" w:rsidP="2B5176B0">
      <w:pPr>
        <w:pStyle w:val="Heading1"/>
        <w:spacing w:before="0" w:line="240" w:lineRule="auto"/>
        <w:rPr>
          <w:rFonts w:ascii="Franklin Gothic Book" w:eastAsia="Franklin Gothic Demi" w:hAnsi="Franklin Gothic Book" w:cs="Franklin Gothic Demi"/>
          <w:bCs/>
          <w:szCs w:val="26"/>
        </w:rPr>
      </w:pPr>
      <w:r w:rsidRPr="00B277C1">
        <w:rPr>
          <w:rFonts w:ascii="Franklin Gothic Book" w:eastAsia="Franklin Gothic Demi" w:hAnsi="Franklin Gothic Book" w:cs="Franklin Gothic Demi"/>
          <w:bCs/>
          <w:szCs w:val="26"/>
        </w:rPr>
        <w:t xml:space="preserve">MISSION STATEMENT </w:t>
      </w:r>
    </w:p>
    <w:p w14:paraId="7FAD8DE7" w14:textId="2A4B791A" w:rsidR="008B6C52" w:rsidRPr="00B277C1" w:rsidRDefault="008B6C52" w:rsidP="2B5176B0">
      <w:pPr>
        <w:pStyle w:val="NoSpacing"/>
        <w:rPr>
          <w:rFonts w:ascii="Franklin Gothic Book" w:eastAsia="Franklin Gothic Book" w:hAnsi="Franklin Gothic Book" w:cs="Franklin Gothic Book"/>
        </w:rPr>
      </w:pPr>
      <w:hyperlink r:id="rId9">
        <w:r w:rsidRPr="00B277C1">
          <w:rPr>
            <w:rStyle w:val="Hyperlink"/>
            <w:rFonts w:ascii="Franklin Gothic Book" w:eastAsia="Franklin Gothic Book" w:hAnsi="Franklin Gothic Book" w:cs="Franklin Gothic Book"/>
            <w:b/>
            <w:bCs/>
          </w:rPr>
          <w:t>Purdue Promise</w:t>
        </w:r>
      </w:hyperlink>
      <w:r w:rsidRPr="00B277C1">
        <w:rPr>
          <w:rFonts w:ascii="Franklin Gothic Book" w:eastAsia="Franklin Gothic Book" w:hAnsi="Franklin Gothic Book" w:cs="Franklin Gothic Book"/>
          <w:b/>
          <w:bCs/>
          <w:color w:val="8E6F3E"/>
        </w:rPr>
        <w:t xml:space="preserve"> </w:t>
      </w:r>
      <w:r w:rsidRPr="00B277C1">
        <w:rPr>
          <w:rFonts w:ascii="Franklin Gothic Book" w:eastAsia="Franklin Gothic Book" w:hAnsi="Franklin Gothic Book" w:cs="Franklin Gothic Book"/>
        </w:rPr>
        <w:t>will champion access, affordability and holistic support to facilitate opportunities for qualifying Indiana scholars to graduate on time, debt-free and prepared for life after Purdue.</w:t>
      </w:r>
    </w:p>
    <w:p w14:paraId="4029C18B" w14:textId="77777777" w:rsidR="008B6C52" w:rsidRPr="00B277C1" w:rsidRDefault="008B6C52" w:rsidP="2B5176B0">
      <w:pPr>
        <w:pStyle w:val="NoSpacing"/>
        <w:rPr>
          <w:rFonts w:ascii="Franklin Gothic Book" w:eastAsia="Franklin Gothic Book" w:hAnsi="Franklin Gothic Book" w:cs="Franklin Gothic Book"/>
        </w:rPr>
      </w:pPr>
    </w:p>
    <w:p w14:paraId="1CF2B742" w14:textId="77777777" w:rsidR="008B6C52" w:rsidRPr="00B277C1" w:rsidRDefault="008B6C52" w:rsidP="2B5176B0">
      <w:pPr>
        <w:pStyle w:val="NoSpacing"/>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Purdue Promise has three core values:</w:t>
      </w:r>
    </w:p>
    <w:p w14:paraId="266D1693" w14:textId="6BDBAE61" w:rsidR="008B6C52" w:rsidRPr="00B277C1" w:rsidRDefault="008B6C52" w:rsidP="2B5176B0">
      <w:pPr>
        <w:pStyle w:val="NoSpacing"/>
        <w:numPr>
          <w:ilvl w:val="0"/>
          <w:numId w:val="20"/>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 xml:space="preserve">Include: </w:t>
      </w:r>
      <w:r w:rsidRPr="00B277C1">
        <w:rPr>
          <w:rFonts w:ascii="Franklin Gothic Book" w:eastAsia="Franklin Gothic Book" w:hAnsi="Franklin Gothic Book" w:cs="Franklin Gothic Book"/>
        </w:rPr>
        <w:t xml:space="preserve">Embrace and celebrate our </w:t>
      </w:r>
      <w:r w:rsidR="00B01B5F" w:rsidRPr="00B277C1">
        <w:rPr>
          <w:rFonts w:ascii="Franklin Gothic Book" w:eastAsia="Franklin Gothic Book" w:hAnsi="Franklin Gothic Book" w:cs="Franklin Gothic Book"/>
        </w:rPr>
        <w:t>distinct</w:t>
      </w:r>
      <w:r w:rsidRPr="00B277C1">
        <w:rPr>
          <w:rFonts w:ascii="Franklin Gothic Book" w:eastAsia="Franklin Gothic Book" w:hAnsi="Franklin Gothic Book" w:cs="Franklin Gothic Book"/>
        </w:rPr>
        <w:t xml:space="preserve"> community.</w:t>
      </w:r>
    </w:p>
    <w:p w14:paraId="4207D6B3" w14:textId="77777777" w:rsidR="008B6C52" w:rsidRPr="00B277C1" w:rsidRDefault="008B6C52" w:rsidP="2B5176B0">
      <w:pPr>
        <w:pStyle w:val="NoSpacing"/>
        <w:numPr>
          <w:ilvl w:val="0"/>
          <w:numId w:val="20"/>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Support:</w:t>
      </w:r>
      <w:r w:rsidRPr="00B277C1">
        <w:rPr>
          <w:rFonts w:ascii="Franklin Gothic Book" w:eastAsia="Franklin Gothic Book" w:hAnsi="Franklin Gothic Book" w:cs="Franklin Gothic Book"/>
        </w:rPr>
        <w:t xml:space="preserve"> Foster caring relationships based on trust and accountability.</w:t>
      </w:r>
    </w:p>
    <w:p w14:paraId="41C46DF0" w14:textId="0BFB84DC" w:rsidR="008B6C52" w:rsidRPr="00B277C1" w:rsidRDefault="008B6C52" w:rsidP="2B5176B0">
      <w:pPr>
        <w:pStyle w:val="NoSpacing"/>
        <w:numPr>
          <w:ilvl w:val="0"/>
          <w:numId w:val="20"/>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Empower:</w:t>
      </w:r>
      <w:r w:rsidRPr="00B277C1">
        <w:rPr>
          <w:rFonts w:ascii="Franklin Gothic Book" w:eastAsia="Franklin Gothic Book" w:hAnsi="Franklin Gothic Book" w:cs="Franklin Gothic Book"/>
        </w:rPr>
        <w:t xml:space="preserve"> Cultivate confidence and courage in ourselves and others.</w:t>
      </w:r>
    </w:p>
    <w:p w14:paraId="612AE011" w14:textId="77777777" w:rsidR="00FA10C5" w:rsidRPr="00694B06" w:rsidRDefault="00FA10C5" w:rsidP="2B5176B0">
      <w:pPr>
        <w:pStyle w:val="NoSpacing"/>
        <w:rPr>
          <w:rFonts w:ascii="Franklin Gothic Book" w:eastAsia="Franklin Gothic Book" w:hAnsi="Franklin Gothic Book" w:cs="Franklin Gothic Book"/>
          <w:sz w:val="23"/>
          <w:szCs w:val="23"/>
        </w:rPr>
      </w:pPr>
    </w:p>
    <w:p w14:paraId="36DB50B2" w14:textId="77777777" w:rsidR="008B6C52" w:rsidRPr="00B277C1" w:rsidRDefault="008B6C52" w:rsidP="2B5176B0">
      <w:pPr>
        <w:pStyle w:val="Heading1"/>
        <w:spacing w:before="0" w:line="240" w:lineRule="auto"/>
        <w:rPr>
          <w:rFonts w:ascii="Franklin Gothic Book" w:eastAsia="Franklin Gothic Demi" w:hAnsi="Franklin Gothic Book" w:cs="Franklin Gothic Demi"/>
          <w:bCs/>
          <w:color w:val="BF8F00" w:themeColor="accent4" w:themeShade="BF"/>
          <w:szCs w:val="26"/>
        </w:rPr>
      </w:pPr>
      <w:r w:rsidRPr="00B277C1">
        <w:rPr>
          <w:rFonts w:ascii="Franklin Gothic Book" w:eastAsia="Franklin Gothic Demi" w:hAnsi="Franklin Gothic Book" w:cs="Franklin Gothic Demi"/>
          <w:bCs/>
          <w:szCs w:val="26"/>
        </w:rPr>
        <w:t>VISION STATEMENT</w:t>
      </w:r>
    </w:p>
    <w:p w14:paraId="16B39A41" w14:textId="38E1F933" w:rsidR="008B6C52" w:rsidRPr="00B277C1" w:rsidRDefault="008B6C52" w:rsidP="2B5176B0">
      <w:pPr>
        <w:pStyle w:val="NoSpacing"/>
        <w:rPr>
          <w:rFonts w:ascii="Franklin Gothic Book" w:eastAsia="Franklin Gothic Book" w:hAnsi="Franklin Gothic Book" w:cs="Franklin Gothic Book"/>
        </w:rPr>
      </w:pPr>
      <w:r w:rsidRPr="00B277C1">
        <w:rPr>
          <w:rFonts w:ascii="Franklin Gothic Book" w:eastAsia="Franklin Gothic Book" w:hAnsi="Franklin Gothic Book" w:cs="Franklin Gothic Book"/>
          <w:color w:val="000000" w:themeColor="text1"/>
        </w:rPr>
        <w:t xml:space="preserve">Purdue Promise aspires to be a nationally recognized model for supporting low-income students, including those who identify as first-generation. </w:t>
      </w:r>
    </w:p>
    <w:p w14:paraId="16E80E88" w14:textId="649351AA" w:rsidR="2B5176B0" w:rsidRPr="00694B06" w:rsidRDefault="2B5176B0" w:rsidP="2B5176B0">
      <w:pPr>
        <w:pStyle w:val="NoSpacing"/>
        <w:rPr>
          <w:rFonts w:ascii="Franklin Gothic Book" w:eastAsia="Franklin Gothic Book" w:hAnsi="Franklin Gothic Book" w:cs="Franklin Gothic Book"/>
          <w:i/>
          <w:iCs/>
          <w:sz w:val="23"/>
          <w:szCs w:val="23"/>
        </w:rPr>
      </w:pPr>
    </w:p>
    <w:p w14:paraId="17F2A3B2" w14:textId="44C223B0" w:rsidR="008B6C52" w:rsidRPr="00B277C1" w:rsidRDefault="008B6C52" w:rsidP="2B5176B0">
      <w:pPr>
        <w:pStyle w:val="Heading1"/>
        <w:spacing w:before="0" w:line="240" w:lineRule="auto"/>
        <w:rPr>
          <w:rFonts w:ascii="Franklin Gothic Book" w:eastAsia="Franklin Gothic Demi" w:hAnsi="Franklin Gothic Book" w:cs="Franklin Gothic Demi"/>
          <w:b w:val="0"/>
          <w:szCs w:val="26"/>
        </w:rPr>
      </w:pPr>
      <w:r w:rsidRPr="00B277C1">
        <w:rPr>
          <w:rStyle w:val="Heading1Char"/>
          <w:rFonts w:ascii="Franklin Gothic Book" w:eastAsia="Franklin Gothic Demi" w:hAnsi="Franklin Gothic Book" w:cs="Franklin Gothic Demi"/>
          <w:b/>
          <w:bCs/>
          <w:szCs w:val="26"/>
        </w:rPr>
        <w:t>PROGRAM ELEMENTS</w:t>
      </w:r>
    </w:p>
    <w:p w14:paraId="527E9E42" w14:textId="07FF4F59" w:rsidR="008B6C52" w:rsidRPr="00B277C1" w:rsidRDefault="008B6C52" w:rsidP="2B5176B0">
      <w:pPr>
        <w:pStyle w:val="NoSpacing"/>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Purdue Promise is both a scholarship and a support program</w:t>
      </w:r>
      <w:r w:rsidR="00D847C6" w:rsidRPr="00B277C1">
        <w:rPr>
          <w:rFonts w:ascii="Franklin Gothic Book" w:eastAsia="Franklin Gothic Book" w:hAnsi="Franklin Gothic Book" w:cs="Franklin Gothic Book"/>
        </w:rPr>
        <w:t xml:space="preserve"> for students at the West Lafayette and Indianapolis locations</w:t>
      </w:r>
      <w:r w:rsidRPr="00B277C1">
        <w:rPr>
          <w:rFonts w:ascii="Franklin Gothic Book" w:eastAsia="Franklin Gothic Book" w:hAnsi="Franklin Gothic Book" w:cs="Franklin Gothic Book"/>
        </w:rPr>
        <w:t>. The “Once Purdue Promise, Always Purdue Promise” policy is a commitment that students will receive support through graduation.</w:t>
      </w:r>
    </w:p>
    <w:p w14:paraId="5E8A3C77" w14:textId="669F839F"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 xml:space="preserve">Scholarship: </w:t>
      </w:r>
      <w:r w:rsidRPr="00B277C1">
        <w:rPr>
          <w:rFonts w:ascii="Franklin Gothic Book" w:eastAsia="Franklin Gothic Book" w:hAnsi="Franklin Gothic Book" w:cs="Franklin Gothic Book"/>
        </w:rPr>
        <w:t>Purdue Promise functions as a gap scholarship, covering</w:t>
      </w:r>
      <w:r w:rsidR="00B01B5F" w:rsidRPr="00B277C1">
        <w:rPr>
          <w:rFonts w:ascii="Franklin Gothic Book" w:eastAsia="Franklin Gothic Book" w:hAnsi="Franklin Gothic Book" w:cs="Franklin Gothic Book"/>
        </w:rPr>
        <w:t xml:space="preserve"> the</w:t>
      </w:r>
      <w:r w:rsidRPr="00B277C1">
        <w:rPr>
          <w:rFonts w:ascii="Franklin Gothic Book" w:eastAsia="Franklin Gothic Book" w:hAnsi="Franklin Gothic Book" w:cs="Franklin Gothic Book"/>
        </w:rPr>
        <w:t xml:space="preserve"> remaining financial need after the Division of Financial Aid applies all other eligible aid to </w:t>
      </w:r>
      <w:r w:rsidR="63B6B399" w:rsidRPr="00B277C1">
        <w:rPr>
          <w:rFonts w:ascii="Franklin Gothic Book" w:eastAsia="Franklin Gothic Book" w:hAnsi="Franklin Gothic Book" w:cs="Franklin Gothic Book"/>
        </w:rPr>
        <w:t xml:space="preserve">a </w:t>
      </w:r>
      <w:r w:rsidRPr="00B277C1">
        <w:rPr>
          <w:rFonts w:ascii="Franklin Gothic Book" w:eastAsia="Franklin Gothic Book" w:hAnsi="Franklin Gothic Book" w:cs="Franklin Gothic Book"/>
        </w:rPr>
        <w:t>scholar</w:t>
      </w:r>
      <w:r w:rsidR="493953AA" w:rsidRPr="00B277C1">
        <w:rPr>
          <w:rFonts w:ascii="Franklin Gothic Book" w:eastAsia="Franklin Gothic Book" w:hAnsi="Franklin Gothic Book" w:cs="Franklin Gothic Book"/>
        </w:rPr>
        <w:t>’</w:t>
      </w:r>
      <w:r w:rsidRPr="00B277C1">
        <w:rPr>
          <w:rFonts w:ascii="Franklin Gothic Book" w:eastAsia="Franklin Gothic Book" w:hAnsi="Franklin Gothic Book" w:cs="Franklin Gothic Book"/>
        </w:rPr>
        <w:t>s account. The 21</w:t>
      </w:r>
      <w:r w:rsidRPr="00B277C1">
        <w:rPr>
          <w:rFonts w:ascii="Franklin Gothic Book" w:eastAsia="Franklin Gothic Book" w:hAnsi="Franklin Gothic Book" w:cs="Franklin Gothic Book"/>
          <w:vertAlign w:val="superscript"/>
        </w:rPr>
        <w:t>st</w:t>
      </w:r>
      <w:r w:rsidRPr="00B277C1">
        <w:rPr>
          <w:rFonts w:ascii="Franklin Gothic Book" w:eastAsia="Franklin Gothic Book" w:hAnsi="Franklin Gothic Book" w:cs="Franklin Gothic Book"/>
        </w:rPr>
        <w:t xml:space="preserve"> Century Scholar</w:t>
      </w:r>
      <w:r w:rsidR="7D00A180" w:rsidRPr="00B277C1">
        <w:rPr>
          <w:rFonts w:ascii="Franklin Gothic Book" w:eastAsia="Franklin Gothic Book" w:hAnsi="Franklin Gothic Book" w:cs="Franklin Gothic Book"/>
        </w:rPr>
        <w:t>s (TfCS)</w:t>
      </w:r>
      <w:r w:rsidRPr="00B277C1">
        <w:rPr>
          <w:rFonts w:ascii="Franklin Gothic Book" w:eastAsia="Franklin Gothic Book" w:hAnsi="Franklin Gothic Book" w:cs="Franklin Gothic Book"/>
        </w:rPr>
        <w:t xml:space="preserve"> award covers tuition and regularly assessed fees, whereas Purdue Promise applies to other elements beyond the cost of attendance</w:t>
      </w:r>
      <w:r w:rsidR="6E072454" w:rsidRPr="00B277C1">
        <w:rPr>
          <w:rFonts w:ascii="Franklin Gothic Book" w:eastAsia="Franklin Gothic Book" w:hAnsi="Franklin Gothic Book" w:cs="Franklin Gothic Book"/>
        </w:rPr>
        <w:t>, including</w:t>
      </w:r>
      <w:r w:rsidRPr="00B277C1">
        <w:rPr>
          <w:rFonts w:ascii="Franklin Gothic Book" w:eastAsia="Franklin Gothic Book" w:hAnsi="Franklin Gothic Book" w:cs="Franklin Gothic Book"/>
        </w:rPr>
        <w:t xml:space="preserve"> room</w:t>
      </w:r>
      <w:r w:rsidR="56F87C8E" w:rsidRPr="00B277C1">
        <w:rPr>
          <w:rFonts w:ascii="Franklin Gothic Book" w:eastAsia="Franklin Gothic Book" w:hAnsi="Franklin Gothic Book" w:cs="Franklin Gothic Book"/>
        </w:rPr>
        <w:t xml:space="preserve"> and </w:t>
      </w:r>
      <w:r w:rsidRPr="00B277C1">
        <w:rPr>
          <w:rFonts w:ascii="Franklin Gothic Book" w:eastAsia="Franklin Gothic Book" w:hAnsi="Franklin Gothic Book" w:cs="Franklin Gothic Book"/>
        </w:rPr>
        <w:t>board, books, transportation, and miscellaneous expenses. Scholarships are both donor-funded and Purdue-funded.</w:t>
      </w:r>
    </w:p>
    <w:p w14:paraId="783E900C" w14:textId="1F95CAD5"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Purdue</w:t>
      </w:r>
      <w:r w:rsidR="00F171DA" w:rsidRPr="00B277C1">
        <w:rPr>
          <w:rFonts w:ascii="Franklin Gothic Book" w:eastAsia="Franklin Gothic Book" w:hAnsi="Franklin Gothic Book" w:cs="Franklin Gothic Book"/>
          <w:b/>
          <w:bCs/>
        </w:rPr>
        <w:t xml:space="preserve"> </w:t>
      </w:r>
      <w:r w:rsidRPr="00B277C1">
        <w:rPr>
          <w:rFonts w:ascii="Franklin Gothic Book" w:eastAsia="Franklin Gothic Book" w:hAnsi="Franklin Gothic Book" w:cs="Franklin Gothic Book"/>
          <w:b/>
          <w:bCs/>
        </w:rPr>
        <w:t>102:</w:t>
      </w:r>
      <w:r w:rsidRPr="00B277C1">
        <w:rPr>
          <w:rFonts w:ascii="Franklin Gothic Book" w:eastAsia="Franklin Gothic Book" w:hAnsi="Franklin Gothic Book" w:cs="Franklin Gothic Book"/>
        </w:rPr>
        <w:t xml:space="preserve"> Scholars meet one-on-one with Student Success Coaches (SSCs) during Purdue 102 to sign their first scholarship</w:t>
      </w:r>
      <w:r w:rsidR="003A46AC" w:rsidRPr="00B277C1">
        <w:rPr>
          <w:rFonts w:ascii="Franklin Gothic Book" w:eastAsia="Franklin Gothic Book" w:hAnsi="Franklin Gothic Book" w:cs="Franklin Gothic Book"/>
        </w:rPr>
        <w:t xml:space="preserve"> participation</w:t>
      </w:r>
      <w:r w:rsidRPr="00B277C1">
        <w:rPr>
          <w:rFonts w:ascii="Franklin Gothic Book" w:eastAsia="Franklin Gothic Book" w:hAnsi="Franklin Gothic Book" w:cs="Franklin Gothic Book"/>
        </w:rPr>
        <w:t xml:space="preserve"> </w:t>
      </w:r>
      <w:r w:rsidR="00F171DA" w:rsidRPr="00B277C1">
        <w:rPr>
          <w:rFonts w:ascii="Franklin Gothic Book" w:eastAsia="Franklin Gothic Book" w:hAnsi="Franklin Gothic Book" w:cs="Franklin Gothic Book"/>
        </w:rPr>
        <w:t>agreement, learn about services</w:t>
      </w:r>
      <w:r w:rsidR="00826280" w:rsidRPr="00B277C1">
        <w:rPr>
          <w:rFonts w:ascii="Franklin Gothic Book" w:eastAsia="Franklin Gothic Book" w:hAnsi="Franklin Gothic Book" w:cs="Franklin Gothic Book"/>
        </w:rPr>
        <w:t>,</w:t>
      </w:r>
      <w:r w:rsidR="00F171DA" w:rsidRPr="00B277C1">
        <w:rPr>
          <w:rFonts w:ascii="Franklin Gothic Book" w:eastAsia="Franklin Gothic Book" w:hAnsi="Franklin Gothic Book" w:cs="Franklin Gothic Book"/>
        </w:rPr>
        <w:t xml:space="preserve"> and review their financial aid package</w:t>
      </w:r>
      <w:r w:rsidRPr="00B277C1">
        <w:rPr>
          <w:rFonts w:ascii="Franklin Gothic Book" w:eastAsia="Franklin Gothic Book" w:hAnsi="Franklin Gothic Book" w:cs="Franklin Gothic Book"/>
        </w:rPr>
        <w:t>. Scholars must agree to participate in the support program to receive the Purdue Promise award.</w:t>
      </w:r>
    </w:p>
    <w:p w14:paraId="13290F01" w14:textId="44F13502"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Boiler Gold Rush (BGR)</w:t>
      </w:r>
      <w:r w:rsidR="00411DFC" w:rsidRPr="00B277C1">
        <w:rPr>
          <w:rFonts w:ascii="Franklin Gothic Book" w:eastAsia="Franklin Gothic Book" w:hAnsi="Franklin Gothic Book" w:cs="Franklin Gothic Book"/>
          <w:b/>
          <w:bCs/>
        </w:rPr>
        <w:t xml:space="preserve"> / Boiler Cold Rush (BCR)</w:t>
      </w:r>
      <w:r w:rsidRPr="00B277C1">
        <w:rPr>
          <w:rFonts w:ascii="Franklin Gothic Book" w:eastAsia="Franklin Gothic Book" w:hAnsi="Franklin Gothic Book" w:cs="Franklin Gothic Book"/>
          <w:b/>
          <w:bCs/>
        </w:rPr>
        <w:t>:</w:t>
      </w:r>
      <w:r w:rsidRPr="00B277C1">
        <w:rPr>
          <w:rFonts w:ascii="Franklin Gothic Book" w:eastAsia="Franklin Gothic Book" w:hAnsi="Franklin Gothic Book" w:cs="Franklin Gothic Book"/>
        </w:rPr>
        <w:t xml:space="preserve"> The Purdue Promise support program requires participation in BGR</w:t>
      </w:r>
      <w:r w:rsidR="00411DFC" w:rsidRPr="00B277C1">
        <w:rPr>
          <w:rFonts w:ascii="Franklin Gothic Book" w:eastAsia="Franklin Gothic Book" w:hAnsi="Franklin Gothic Book" w:cs="Franklin Gothic Book"/>
        </w:rPr>
        <w:t xml:space="preserve"> for fall beginners and BCR for spring beginners</w:t>
      </w:r>
      <w:r w:rsidRPr="00B277C1">
        <w:rPr>
          <w:rFonts w:ascii="Franklin Gothic Book" w:eastAsia="Franklin Gothic Book" w:hAnsi="Franklin Gothic Book" w:cs="Franklin Gothic Book"/>
        </w:rPr>
        <w:t>, Purdue’s welcome week experience</w:t>
      </w:r>
      <w:r w:rsidR="00411DFC" w:rsidRPr="00B277C1">
        <w:rPr>
          <w:rFonts w:ascii="Franklin Gothic Book" w:eastAsia="Franklin Gothic Book" w:hAnsi="Franklin Gothic Book" w:cs="Franklin Gothic Book"/>
        </w:rPr>
        <w:t>s</w:t>
      </w:r>
      <w:r w:rsidRPr="00B277C1">
        <w:rPr>
          <w:rFonts w:ascii="Franklin Gothic Book" w:eastAsia="Franklin Gothic Book" w:hAnsi="Franklin Gothic Book" w:cs="Franklin Gothic Book"/>
        </w:rPr>
        <w:t>. Purdue Promise covers scholars’ cost of participation.</w:t>
      </w:r>
    </w:p>
    <w:p w14:paraId="328B1524" w14:textId="32ED8B94" w:rsidR="00A908FA" w:rsidRPr="00B277C1" w:rsidRDefault="00A908FA"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Pre-BGR Program Welcome:</w:t>
      </w:r>
      <w:r w:rsidR="00411DFC" w:rsidRPr="00B277C1">
        <w:rPr>
          <w:rFonts w:ascii="Franklin Gothic Book" w:eastAsia="Franklin Gothic Book" w:hAnsi="Franklin Gothic Book" w:cs="Franklin Gothic Book"/>
        </w:rPr>
        <w:t xml:space="preserve"> The Purdue Promise support program coordinates an opportunity to collectively welcome students in the program to campus, as part of the BGR programming. Our scholars have the opportunity to move in (on-campus) with the Early Arrival Group, spend a day learning about the program more in depth from our staff, and connect with other scholars in the program before BGR and the academic year begin.</w:t>
      </w:r>
    </w:p>
    <w:p w14:paraId="2931498B" w14:textId="6E9057F4"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 xml:space="preserve">GS 197 – Purdue Promise First-Year Experience Course: </w:t>
      </w:r>
      <w:r w:rsidRPr="00B277C1">
        <w:rPr>
          <w:rFonts w:ascii="Franklin Gothic Book" w:eastAsia="Franklin Gothic Book" w:hAnsi="Franklin Gothic Book" w:cs="Franklin Gothic Book"/>
        </w:rPr>
        <w:t>Th</w:t>
      </w:r>
      <w:r w:rsidR="04DB44E8" w:rsidRPr="00B277C1">
        <w:rPr>
          <w:rFonts w:ascii="Franklin Gothic Book" w:eastAsia="Franklin Gothic Book" w:hAnsi="Franklin Gothic Book" w:cs="Franklin Gothic Book"/>
        </w:rPr>
        <w:t>is</w:t>
      </w:r>
      <w:r w:rsidRPr="00B277C1">
        <w:rPr>
          <w:rFonts w:ascii="Franklin Gothic Book" w:eastAsia="Franklin Gothic Book" w:hAnsi="Franklin Gothic Book" w:cs="Franklin Gothic Book"/>
        </w:rPr>
        <w:t xml:space="preserve"> course </w:t>
      </w:r>
      <w:r w:rsidR="00F171DA" w:rsidRPr="00B277C1">
        <w:rPr>
          <w:rFonts w:ascii="Franklin Gothic Book" w:eastAsia="Franklin Gothic Book" w:hAnsi="Franklin Gothic Book" w:cs="Franklin Gothic Book"/>
        </w:rPr>
        <w:t xml:space="preserve">is </w:t>
      </w:r>
      <w:r w:rsidRPr="00B277C1">
        <w:rPr>
          <w:rFonts w:ascii="Franklin Gothic Book" w:eastAsia="Franklin Gothic Book" w:hAnsi="Franklin Gothic Book" w:cs="Franklin Gothic Book"/>
        </w:rPr>
        <w:t xml:space="preserve">offered in the fall semester and designed specifically for Purdue Promise first-year scholars. </w:t>
      </w:r>
      <w:r w:rsidR="00F171DA" w:rsidRPr="00B277C1">
        <w:rPr>
          <w:rFonts w:ascii="Franklin Gothic Book" w:eastAsia="Franklin Gothic Book" w:hAnsi="Franklin Gothic Book" w:cs="Franklin Gothic Book"/>
        </w:rPr>
        <w:t xml:space="preserve">SSCs serve as </w:t>
      </w:r>
      <w:r w:rsidRPr="00B277C1">
        <w:rPr>
          <w:rFonts w:ascii="Franklin Gothic Book" w:eastAsia="Franklin Gothic Book" w:hAnsi="Franklin Gothic Book" w:cs="Franklin Gothic Book"/>
        </w:rPr>
        <w:t>instructors for the course</w:t>
      </w:r>
      <w:r w:rsidR="4012EBE3" w:rsidRPr="00B277C1">
        <w:rPr>
          <w:rFonts w:ascii="Franklin Gothic Book" w:eastAsia="Franklin Gothic Book" w:hAnsi="Franklin Gothic Book" w:cs="Franklin Gothic Book"/>
        </w:rPr>
        <w:t xml:space="preserve">, </w:t>
      </w:r>
      <w:r w:rsidR="00F171DA" w:rsidRPr="00B277C1">
        <w:rPr>
          <w:rFonts w:ascii="Franklin Gothic Book" w:eastAsia="Franklin Gothic Book" w:hAnsi="Franklin Gothic Book" w:cs="Franklin Gothic Book"/>
        </w:rPr>
        <w:t xml:space="preserve">and </w:t>
      </w:r>
      <w:r w:rsidRPr="00B277C1">
        <w:rPr>
          <w:rFonts w:ascii="Franklin Gothic Book" w:eastAsia="Franklin Gothic Book" w:hAnsi="Franklin Gothic Book" w:cs="Franklin Gothic Book"/>
        </w:rPr>
        <w:t>scholars</w:t>
      </w:r>
      <w:r w:rsidR="00F171DA" w:rsidRPr="00B277C1">
        <w:rPr>
          <w:rFonts w:ascii="Franklin Gothic Book" w:eastAsia="Franklin Gothic Book" w:hAnsi="Franklin Gothic Book" w:cs="Franklin Gothic Book"/>
        </w:rPr>
        <w:t xml:space="preserve"> are</w:t>
      </w:r>
      <w:r w:rsidRPr="00B277C1">
        <w:rPr>
          <w:rFonts w:ascii="Franklin Gothic Book" w:eastAsia="Franklin Gothic Book" w:hAnsi="Franklin Gothic Book" w:cs="Franklin Gothic Book"/>
        </w:rPr>
        <w:t xml:space="preserve"> </w:t>
      </w:r>
      <w:r w:rsidR="00F171DA" w:rsidRPr="00B277C1">
        <w:rPr>
          <w:rFonts w:ascii="Franklin Gothic Book" w:eastAsia="Franklin Gothic Book" w:hAnsi="Franklin Gothic Book" w:cs="Franklin Gothic Book"/>
        </w:rPr>
        <w:t xml:space="preserve">assigned </w:t>
      </w:r>
      <w:r w:rsidR="1DECEB77" w:rsidRPr="00B277C1">
        <w:rPr>
          <w:rFonts w:ascii="Franklin Gothic Book" w:eastAsia="Franklin Gothic Book" w:hAnsi="Franklin Gothic Book" w:cs="Franklin Gothic Book"/>
        </w:rPr>
        <w:t xml:space="preserve">to </w:t>
      </w:r>
      <w:r w:rsidR="00F171DA" w:rsidRPr="00B277C1">
        <w:rPr>
          <w:rFonts w:ascii="Franklin Gothic Book" w:eastAsia="Franklin Gothic Book" w:hAnsi="Franklin Gothic Book" w:cs="Franklin Gothic Book"/>
        </w:rPr>
        <w:t>the</w:t>
      </w:r>
      <w:r w:rsidR="001F54AC" w:rsidRPr="00B277C1">
        <w:rPr>
          <w:rFonts w:ascii="Franklin Gothic Book" w:eastAsia="Franklin Gothic Book" w:hAnsi="Franklin Gothic Book" w:cs="Franklin Gothic Book"/>
        </w:rPr>
        <w:t>ir instructor's</w:t>
      </w:r>
      <w:r w:rsidR="00F171DA" w:rsidRPr="00B277C1">
        <w:rPr>
          <w:rFonts w:ascii="Franklin Gothic Book" w:eastAsia="Franklin Gothic Book" w:hAnsi="Franklin Gothic Book" w:cs="Franklin Gothic Book"/>
        </w:rPr>
        <w:t xml:space="preserve"> caseload</w:t>
      </w:r>
      <w:r w:rsidRPr="00B277C1">
        <w:rPr>
          <w:rFonts w:ascii="Franklin Gothic Book" w:eastAsia="Franklin Gothic Book" w:hAnsi="Franklin Gothic Book" w:cs="Franklin Gothic Book"/>
        </w:rPr>
        <w:t xml:space="preserve">. Scholars meet </w:t>
      </w:r>
      <w:r w:rsidR="00B01B5F" w:rsidRPr="00B277C1">
        <w:rPr>
          <w:rFonts w:ascii="Franklin Gothic Book" w:eastAsia="Franklin Gothic Book" w:hAnsi="Franklin Gothic Book" w:cs="Franklin Gothic Book"/>
        </w:rPr>
        <w:t>twice</w:t>
      </w:r>
      <w:r w:rsidRPr="00B277C1">
        <w:rPr>
          <w:rFonts w:ascii="Franklin Gothic Book" w:eastAsia="Franklin Gothic Book" w:hAnsi="Franklin Gothic Book" w:cs="Franklin Gothic Book"/>
        </w:rPr>
        <w:t xml:space="preserve"> with coaches outside of class during the semester.</w:t>
      </w:r>
    </w:p>
    <w:p w14:paraId="2693697F" w14:textId="530A4E7D"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GS 405 – Advancing Tomorrow’s Leaders</w:t>
      </w:r>
      <w:r w:rsidR="6B08AFA7" w:rsidRPr="00B277C1">
        <w:rPr>
          <w:rFonts w:ascii="Franklin Gothic Book" w:eastAsia="Franklin Gothic Book" w:hAnsi="Franklin Gothic Book" w:cs="Franklin Gothic Book"/>
          <w:b/>
          <w:bCs/>
        </w:rPr>
        <w:t>,</w:t>
      </w:r>
      <w:r w:rsidRPr="00B277C1">
        <w:rPr>
          <w:rFonts w:ascii="Franklin Gothic Book" w:eastAsia="Franklin Gothic Book" w:hAnsi="Franklin Gothic Book" w:cs="Franklin Gothic Book"/>
          <w:b/>
          <w:bCs/>
        </w:rPr>
        <w:t xml:space="preserve"> Preparing for Employment and Life After College: </w:t>
      </w:r>
      <w:r w:rsidRPr="00B277C1">
        <w:rPr>
          <w:rFonts w:ascii="Franklin Gothic Book" w:eastAsia="Franklin Gothic Book" w:hAnsi="Franklin Gothic Book" w:cs="Franklin Gothic Book"/>
        </w:rPr>
        <w:t>Th</w:t>
      </w:r>
      <w:r w:rsidR="5B5B09C5" w:rsidRPr="00B277C1">
        <w:rPr>
          <w:rFonts w:ascii="Franklin Gothic Book" w:eastAsia="Franklin Gothic Book" w:hAnsi="Franklin Gothic Book" w:cs="Franklin Gothic Book"/>
        </w:rPr>
        <w:t>is</w:t>
      </w:r>
      <w:r w:rsidRPr="00B277C1">
        <w:rPr>
          <w:rFonts w:ascii="Franklin Gothic Book" w:eastAsia="Franklin Gothic Book" w:hAnsi="Franklin Gothic Book" w:cs="Franklin Gothic Book"/>
        </w:rPr>
        <w:t xml:space="preserve"> course is offered in the fall semester and focuses on transition into the workplace, financial literacy</w:t>
      </w:r>
      <w:r w:rsidR="00826280" w:rsidRPr="00B277C1">
        <w:rPr>
          <w:rFonts w:ascii="Franklin Gothic Book" w:eastAsia="Franklin Gothic Book" w:hAnsi="Franklin Gothic Book" w:cs="Franklin Gothic Book"/>
        </w:rPr>
        <w:t>,</w:t>
      </w:r>
      <w:r w:rsidR="67F9960B"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and lifelong financ</w:t>
      </w:r>
      <w:r w:rsidR="00A908FA" w:rsidRPr="00B277C1">
        <w:rPr>
          <w:rFonts w:ascii="Franklin Gothic Book" w:eastAsia="Franklin Gothic Book" w:hAnsi="Franklin Gothic Book" w:cs="Franklin Gothic Book"/>
        </w:rPr>
        <w:t>ial</w:t>
      </w:r>
      <w:r w:rsidRPr="00B277C1">
        <w:rPr>
          <w:rFonts w:ascii="Franklin Gothic Book" w:eastAsia="Franklin Gothic Book" w:hAnsi="Franklin Gothic Book" w:cs="Franklin Gothic Book"/>
        </w:rPr>
        <w:t xml:space="preserve"> planning. </w:t>
      </w:r>
    </w:p>
    <w:p w14:paraId="1734FE1D" w14:textId="10C68227" w:rsidR="29C3138E" w:rsidRPr="00B277C1" w:rsidRDefault="29C3138E"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 xml:space="preserve">Student Success Coaching Meetings: </w:t>
      </w:r>
      <w:r w:rsidRPr="00B277C1">
        <w:rPr>
          <w:rFonts w:ascii="Franklin Gothic Book" w:eastAsia="Franklin Gothic Book" w:hAnsi="Franklin Gothic Book" w:cs="Franklin Gothic Book"/>
        </w:rPr>
        <w:t xml:space="preserve">Between GS 197 and GS 405, scholars meet with SSCs two to four times per semester. The program uses an internal color-coding system based on several factors correlated with scholars’ academic standing and scholarship status. Green scholars are least at risk and meet </w:t>
      </w:r>
      <w:r w:rsidR="480C2633" w:rsidRPr="00B277C1">
        <w:rPr>
          <w:rFonts w:ascii="Franklin Gothic Book" w:eastAsia="Franklin Gothic Book" w:hAnsi="Franklin Gothic Book" w:cs="Franklin Gothic Book"/>
        </w:rPr>
        <w:t xml:space="preserve">with their coach </w:t>
      </w:r>
      <w:r w:rsidRPr="00B277C1">
        <w:rPr>
          <w:rFonts w:ascii="Franklin Gothic Book" w:eastAsia="Franklin Gothic Book" w:hAnsi="Franklin Gothic Book" w:cs="Franklin Gothic Book"/>
        </w:rPr>
        <w:t xml:space="preserve">at least </w:t>
      </w:r>
      <w:bookmarkStart w:id="0" w:name="_Int_QfaktXT5"/>
      <w:r w:rsidRPr="00B277C1">
        <w:rPr>
          <w:rFonts w:ascii="Franklin Gothic Book" w:eastAsia="Franklin Gothic Book" w:hAnsi="Franklin Gothic Book" w:cs="Franklin Gothic Book"/>
        </w:rPr>
        <w:t xml:space="preserve">twice. </w:t>
      </w:r>
      <w:bookmarkEnd w:id="0"/>
      <w:r w:rsidRPr="00B277C1">
        <w:rPr>
          <w:rFonts w:ascii="Franklin Gothic Book" w:eastAsia="Franklin Gothic Book" w:hAnsi="Franklin Gothic Book" w:cs="Franklin Gothic Book"/>
        </w:rPr>
        <w:t xml:space="preserve">Yellow scholars are at risk of academic notice status and meet with their coach three times. Red scholars are most at </w:t>
      </w:r>
      <w:r w:rsidRPr="00B277C1">
        <w:rPr>
          <w:rFonts w:ascii="Franklin Gothic Book" w:eastAsia="Franklin Gothic Book" w:hAnsi="Franklin Gothic Book" w:cs="Franklin Gothic Book"/>
        </w:rPr>
        <w:lastRenderedPageBreak/>
        <w:t>risk for academic separation or loss of scholarship</w:t>
      </w:r>
      <w:r w:rsidR="643BE19E" w:rsidRPr="00B277C1">
        <w:rPr>
          <w:rFonts w:ascii="Franklin Gothic Book" w:eastAsia="Franklin Gothic Book" w:hAnsi="Franklin Gothic Book" w:cs="Franklin Gothic Book"/>
        </w:rPr>
        <w:t xml:space="preserve"> and</w:t>
      </w:r>
      <w:r w:rsidRPr="00B277C1">
        <w:rPr>
          <w:rFonts w:ascii="Franklin Gothic Book" w:eastAsia="Franklin Gothic Book" w:hAnsi="Franklin Gothic Book" w:cs="Franklin Gothic Book"/>
        </w:rPr>
        <w:t xml:space="preserve"> meet with their coach at least four times for academic or scholarship recovery.</w:t>
      </w:r>
    </w:p>
    <w:p w14:paraId="0042EAE2" w14:textId="32D1F0FC"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Study Abroad:</w:t>
      </w:r>
      <w:r w:rsidRPr="00B277C1">
        <w:rPr>
          <w:rFonts w:ascii="Franklin Gothic Book" w:eastAsia="Franklin Gothic Book" w:hAnsi="Franklin Gothic Book" w:cs="Franklin Gothic Book"/>
        </w:rPr>
        <w:t xml:space="preserve"> Purdue Promise coordinates and supplements the cost of a</w:t>
      </w:r>
      <w:r w:rsidR="003A46AC" w:rsidRPr="00B277C1">
        <w:rPr>
          <w:rFonts w:ascii="Franklin Gothic Book" w:eastAsia="Franklin Gothic Book" w:hAnsi="Franklin Gothic Book" w:cs="Franklin Gothic Book"/>
        </w:rPr>
        <w:t xml:space="preserve"> culturally immersive</w:t>
      </w:r>
      <w:r w:rsidRPr="00B277C1">
        <w:rPr>
          <w:rFonts w:ascii="Franklin Gothic Book" w:eastAsia="Franklin Gothic Book" w:hAnsi="Franklin Gothic Book" w:cs="Franklin Gothic Book"/>
        </w:rPr>
        <w:t xml:space="preserve"> three-week, three-credit study abroad experience </w:t>
      </w:r>
      <w:r w:rsidR="00B01B5F" w:rsidRPr="00B277C1">
        <w:rPr>
          <w:rFonts w:ascii="Franklin Gothic Book" w:eastAsia="Franklin Gothic Book" w:hAnsi="Franklin Gothic Book" w:cs="Franklin Gothic Book"/>
        </w:rPr>
        <w:t xml:space="preserve">to Spain </w:t>
      </w:r>
      <w:r w:rsidRPr="00B277C1">
        <w:rPr>
          <w:rFonts w:ascii="Franklin Gothic Book" w:eastAsia="Franklin Gothic Book" w:hAnsi="Franklin Gothic Book" w:cs="Franklin Gothic Book"/>
        </w:rPr>
        <w:t>during</w:t>
      </w:r>
      <w:r w:rsidR="713D5EEE" w:rsidRPr="00B277C1">
        <w:rPr>
          <w:rFonts w:ascii="Franklin Gothic Book" w:eastAsia="Franklin Gothic Book" w:hAnsi="Franklin Gothic Book" w:cs="Franklin Gothic Book"/>
        </w:rPr>
        <w:t xml:space="preserve"> the May semester</w:t>
      </w:r>
      <w:r w:rsidR="003A46AC" w:rsidRPr="00B277C1">
        <w:rPr>
          <w:rFonts w:ascii="Franklin Gothic Book" w:eastAsia="Franklin Gothic Book" w:hAnsi="Franklin Gothic Book" w:cs="Franklin Gothic Book"/>
        </w:rPr>
        <w:t xml:space="preserve"> that focuses on Global Leadership</w:t>
      </w:r>
      <w:r w:rsidR="713D5EEE" w:rsidRPr="00B277C1">
        <w:rPr>
          <w:rFonts w:ascii="Franklin Gothic Book" w:eastAsia="Franklin Gothic Book" w:hAnsi="Franklin Gothic Book" w:cs="Franklin Gothic Book"/>
        </w:rPr>
        <w:t>.</w:t>
      </w:r>
      <w:r w:rsidR="00B01B5F"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 xml:space="preserve">Scholars </w:t>
      </w:r>
      <w:r w:rsidR="00B01B5F" w:rsidRPr="00B277C1">
        <w:rPr>
          <w:rFonts w:ascii="Franklin Gothic Book" w:eastAsia="Franklin Gothic Book" w:hAnsi="Franklin Gothic Book" w:cs="Franklin Gothic Book"/>
        </w:rPr>
        <w:t>on average</w:t>
      </w:r>
      <w:r w:rsidRPr="00B277C1">
        <w:rPr>
          <w:rFonts w:ascii="Franklin Gothic Book" w:eastAsia="Franklin Gothic Book" w:hAnsi="Franklin Gothic Book" w:cs="Franklin Gothic Book"/>
        </w:rPr>
        <w:t xml:space="preserve"> pay </w:t>
      </w:r>
      <w:r w:rsidR="00D847C6" w:rsidRPr="00B277C1">
        <w:rPr>
          <w:rFonts w:ascii="Franklin Gothic Book" w:eastAsia="Franklin Gothic Book" w:hAnsi="Franklin Gothic Book" w:cs="Franklin Gothic Book"/>
        </w:rPr>
        <w:t>$1,000</w:t>
      </w:r>
      <w:r w:rsidRPr="00B277C1">
        <w:rPr>
          <w:rFonts w:ascii="Franklin Gothic Book" w:eastAsia="Franklin Gothic Book" w:hAnsi="Franklin Gothic Book" w:cs="Franklin Gothic Book"/>
        </w:rPr>
        <w:t xml:space="preserve"> or less for th</w:t>
      </w:r>
      <w:r w:rsidR="00B01B5F" w:rsidRPr="00B277C1">
        <w:rPr>
          <w:rFonts w:ascii="Franklin Gothic Book" w:eastAsia="Franklin Gothic Book" w:hAnsi="Franklin Gothic Book" w:cs="Franklin Gothic Book"/>
        </w:rPr>
        <w:t>is</w:t>
      </w:r>
      <w:r w:rsidR="2DBE21DA" w:rsidRPr="00B277C1">
        <w:rPr>
          <w:rFonts w:ascii="Franklin Gothic Book" w:eastAsia="Franklin Gothic Book" w:hAnsi="Franklin Gothic Book" w:cs="Franklin Gothic Book"/>
        </w:rPr>
        <w:t xml:space="preserve"> trip</w:t>
      </w:r>
      <w:r w:rsidRPr="00B277C1">
        <w:rPr>
          <w:rFonts w:ascii="Franklin Gothic Book" w:eastAsia="Franklin Gothic Book" w:hAnsi="Franklin Gothic Book" w:cs="Franklin Gothic Book"/>
        </w:rPr>
        <w:t>.</w:t>
      </w:r>
    </w:p>
    <w:p w14:paraId="223986FE" w14:textId="7179E67B"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 xml:space="preserve">Free Application for Federal Student Aid (FAFSA): </w:t>
      </w:r>
      <w:r w:rsidR="1E8AB4C2" w:rsidRPr="00B277C1">
        <w:rPr>
          <w:rFonts w:ascii="Franklin Gothic Book" w:eastAsia="Franklin Gothic Book" w:hAnsi="Franklin Gothic Book" w:cs="Franklin Gothic Book"/>
        </w:rPr>
        <w:t>A</w:t>
      </w:r>
      <w:r w:rsidRPr="00B277C1">
        <w:rPr>
          <w:rFonts w:ascii="Franklin Gothic Book" w:eastAsia="Franklin Gothic Book" w:hAnsi="Franklin Gothic Book" w:cs="Franklin Gothic Book"/>
        </w:rPr>
        <w:t>ll Purdue Promise scholars</w:t>
      </w:r>
      <w:r w:rsidR="20330B8F" w:rsidRPr="00B277C1">
        <w:rPr>
          <w:rFonts w:ascii="Franklin Gothic Book" w:eastAsia="Franklin Gothic Book" w:hAnsi="Franklin Gothic Book" w:cs="Franklin Gothic Book"/>
        </w:rPr>
        <w:t xml:space="preserve"> are required</w:t>
      </w:r>
      <w:r w:rsidRPr="00B277C1">
        <w:rPr>
          <w:rFonts w:ascii="Franklin Gothic Book" w:eastAsia="Franklin Gothic Book" w:hAnsi="Franklin Gothic Book" w:cs="Franklin Gothic Book"/>
        </w:rPr>
        <w:t xml:space="preserve"> to complete the FAFSA by April 15 annually as part of </w:t>
      </w:r>
      <w:r w:rsidR="0007275F" w:rsidRPr="00B277C1">
        <w:rPr>
          <w:rFonts w:ascii="Franklin Gothic Book" w:eastAsia="Franklin Gothic Book" w:hAnsi="Franklin Gothic Book" w:cs="Franklin Gothic Book"/>
        </w:rPr>
        <w:t>their 21</w:t>
      </w:r>
      <w:r w:rsidR="0007275F" w:rsidRPr="00B277C1">
        <w:rPr>
          <w:rFonts w:ascii="Franklin Gothic Book" w:eastAsia="Franklin Gothic Book" w:hAnsi="Franklin Gothic Book" w:cs="Franklin Gothic Book"/>
          <w:vertAlign w:val="superscript"/>
        </w:rPr>
        <w:t>st</w:t>
      </w:r>
      <w:r w:rsidR="0007275F" w:rsidRPr="00B277C1">
        <w:rPr>
          <w:rFonts w:ascii="Franklin Gothic Book" w:eastAsia="Franklin Gothic Book" w:hAnsi="Franklin Gothic Book" w:cs="Franklin Gothic Book"/>
        </w:rPr>
        <w:t xml:space="preserve"> Century Scholarship</w:t>
      </w:r>
      <w:r w:rsidRPr="00B277C1">
        <w:rPr>
          <w:rFonts w:ascii="Franklin Gothic Book" w:eastAsia="Franklin Gothic Book" w:hAnsi="Franklin Gothic Book" w:cs="Franklin Gothic Book"/>
        </w:rPr>
        <w:t xml:space="preserve"> requirements.</w:t>
      </w:r>
    </w:p>
    <w:p w14:paraId="13FC7C2B" w14:textId="3303DA01" w:rsidR="008B6C52" w:rsidRPr="00B277C1" w:rsidRDefault="008B6C52" w:rsidP="2B5176B0">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Logging Outreach and Mining Data:</w:t>
      </w:r>
      <w:r w:rsidRPr="00B277C1">
        <w:rPr>
          <w:rFonts w:ascii="Franklin Gothic Book" w:eastAsia="Franklin Gothic Book" w:hAnsi="Franklin Gothic Book" w:cs="Franklin Gothic Book"/>
        </w:rPr>
        <w:t xml:space="preserve"> SSCs track all interactions with scholars, including details about personal successes and challenges. This data </w:t>
      </w:r>
      <w:r w:rsidR="43CA33D2" w:rsidRPr="00B277C1">
        <w:rPr>
          <w:rFonts w:ascii="Franklin Gothic Book" w:eastAsia="Franklin Gothic Book" w:hAnsi="Franklin Gothic Book" w:cs="Franklin Gothic Book"/>
        </w:rPr>
        <w:t xml:space="preserve">is used </w:t>
      </w:r>
      <w:r w:rsidRPr="00B277C1">
        <w:rPr>
          <w:rFonts w:ascii="Franklin Gothic Book" w:eastAsia="Franklin Gothic Book" w:hAnsi="Franklin Gothic Book" w:cs="Franklin Gothic Book"/>
        </w:rPr>
        <w:t xml:space="preserve">for evidence-based decision-making and advocacy. </w:t>
      </w:r>
      <w:r w:rsidR="2E650093" w:rsidRPr="00B277C1">
        <w:rPr>
          <w:rFonts w:ascii="Franklin Gothic Book" w:eastAsia="Franklin Gothic Book" w:hAnsi="Franklin Gothic Book" w:cs="Franklin Gothic Book"/>
        </w:rPr>
        <w:t xml:space="preserve">SSCs </w:t>
      </w:r>
      <w:r w:rsidRPr="00B277C1">
        <w:rPr>
          <w:rFonts w:ascii="Franklin Gothic Book" w:eastAsia="Franklin Gothic Book" w:hAnsi="Franklin Gothic Book" w:cs="Franklin Gothic Book"/>
        </w:rPr>
        <w:t>regularly respond to “issue lists” to reduce barriers to success.</w:t>
      </w:r>
    </w:p>
    <w:p w14:paraId="6B628B15" w14:textId="77DE9233" w:rsidR="00E35FB0" w:rsidRPr="00B277C1" w:rsidRDefault="008B6C52" w:rsidP="00352CE1">
      <w:pPr>
        <w:pStyle w:val="NoSpacing"/>
        <w:numPr>
          <w:ilvl w:val="0"/>
          <w:numId w:val="6"/>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b/>
          <w:bCs/>
        </w:rPr>
        <w:t>21</w:t>
      </w:r>
      <w:r w:rsidRPr="00B277C1">
        <w:rPr>
          <w:rFonts w:ascii="Franklin Gothic Book" w:eastAsia="Franklin Gothic Book" w:hAnsi="Franklin Gothic Book" w:cs="Franklin Gothic Book"/>
          <w:b/>
          <w:bCs/>
          <w:vertAlign w:val="superscript"/>
        </w:rPr>
        <w:t>st</w:t>
      </w:r>
      <w:r w:rsidRPr="00B277C1">
        <w:rPr>
          <w:rFonts w:ascii="Franklin Gothic Book" w:eastAsia="Franklin Gothic Book" w:hAnsi="Franklin Gothic Book" w:cs="Franklin Gothic Book"/>
          <w:b/>
          <w:bCs/>
        </w:rPr>
        <w:t xml:space="preserve"> Century Scholar Campus Mentor Network:</w:t>
      </w:r>
      <w:r w:rsidRPr="00B277C1">
        <w:rPr>
          <w:rFonts w:ascii="Franklin Gothic Book" w:eastAsia="Franklin Gothic Book" w:hAnsi="Franklin Gothic Book" w:cs="Franklin Gothic Book"/>
        </w:rPr>
        <w:t xml:space="preserve"> Staff commit to fostering collaborations with campus partners in order to assist scholars and remove barriers to </w:t>
      </w:r>
      <w:r w:rsidR="46BDF25D" w:rsidRPr="00B277C1">
        <w:rPr>
          <w:rFonts w:ascii="Franklin Gothic Book" w:eastAsia="Franklin Gothic Book" w:hAnsi="Franklin Gothic Book" w:cs="Franklin Gothic Book"/>
        </w:rPr>
        <w:t xml:space="preserve">their </w:t>
      </w:r>
      <w:r w:rsidRPr="00B277C1">
        <w:rPr>
          <w:rFonts w:ascii="Franklin Gothic Book" w:eastAsia="Franklin Gothic Book" w:hAnsi="Franklin Gothic Book" w:cs="Franklin Gothic Book"/>
        </w:rPr>
        <w:t xml:space="preserve">success. </w:t>
      </w:r>
      <w:r w:rsidR="20410F66" w:rsidRPr="00B277C1">
        <w:rPr>
          <w:rFonts w:ascii="Franklin Gothic Book" w:eastAsia="Franklin Gothic Book" w:hAnsi="Franklin Gothic Book" w:cs="Franklin Gothic Book"/>
        </w:rPr>
        <w:t xml:space="preserve">They </w:t>
      </w:r>
      <w:r w:rsidRPr="00B277C1">
        <w:rPr>
          <w:rFonts w:ascii="Franklin Gothic Book" w:eastAsia="Franklin Gothic Book" w:hAnsi="Franklin Gothic Book" w:cs="Franklin Gothic Book"/>
        </w:rPr>
        <w:t>also encourage scholars</w:t>
      </w:r>
      <w:r w:rsidR="73AE2C82" w:rsidRPr="00B277C1">
        <w:rPr>
          <w:rFonts w:ascii="Franklin Gothic Book" w:eastAsia="Franklin Gothic Book" w:hAnsi="Franklin Gothic Book" w:cs="Franklin Gothic Book"/>
        </w:rPr>
        <w:t xml:space="preserve"> to</w:t>
      </w:r>
      <w:r w:rsidRPr="00B277C1">
        <w:rPr>
          <w:rFonts w:ascii="Franklin Gothic Book" w:eastAsia="Franklin Gothic Book" w:hAnsi="Franklin Gothic Book" w:cs="Franklin Gothic Book"/>
        </w:rPr>
        <w:t xml:space="preserve"> </w:t>
      </w:r>
      <w:r w:rsidR="22A87D1C" w:rsidRPr="00B277C1">
        <w:rPr>
          <w:rFonts w:ascii="Franklin Gothic Book" w:eastAsia="Franklin Gothic Book" w:hAnsi="Franklin Gothic Book" w:cs="Franklin Gothic Book"/>
        </w:rPr>
        <w:t xml:space="preserve">utilize their </w:t>
      </w:r>
      <w:r w:rsidRPr="00B277C1">
        <w:rPr>
          <w:rFonts w:ascii="Franklin Gothic Book" w:eastAsia="Franklin Gothic Book" w:hAnsi="Franklin Gothic Book" w:cs="Franklin Gothic Book"/>
        </w:rPr>
        <w:t>personal and professional networks.</w:t>
      </w:r>
    </w:p>
    <w:p w14:paraId="490E214A" w14:textId="5EA03E4F" w:rsidR="2B5176B0" w:rsidRPr="00694B06" w:rsidRDefault="2B5176B0" w:rsidP="00023337">
      <w:pPr>
        <w:pStyle w:val="NoSpacing"/>
        <w:rPr>
          <w:rFonts w:ascii="Franklin Gothic Book" w:eastAsia="Franklin Gothic Book" w:hAnsi="Franklin Gothic Book" w:cs="Franklin Gothic Book"/>
          <w:i/>
          <w:iCs/>
          <w:sz w:val="23"/>
          <w:szCs w:val="23"/>
        </w:rPr>
      </w:pPr>
    </w:p>
    <w:p w14:paraId="2DC283AC" w14:textId="77777777" w:rsidR="008B6C52" w:rsidRPr="00B277C1" w:rsidRDefault="008B6C52" w:rsidP="2B5176B0">
      <w:pPr>
        <w:pStyle w:val="Heading1"/>
        <w:spacing w:before="0" w:line="240" w:lineRule="auto"/>
        <w:rPr>
          <w:rFonts w:ascii="Franklin Gothic Book" w:eastAsia="Franklin Gothic Demi" w:hAnsi="Franklin Gothic Book" w:cs="Franklin Gothic Demi"/>
          <w:bCs/>
          <w:color w:val="BF8F00" w:themeColor="accent4" w:themeShade="BF"/>
          <w:szCs w:val="26"/>
        </w:rPr>
      </w:pPr>
      <w:r w:rsidRPr="00B277C1">
        <w:rPr>
          <w:rFonts w:ascii="Franklin Gothic Book" w:eastAsia="Franklin Gothic Demi" w:hAnsi="Franklin Gothic Book" w:cs="Franklin Gothic Demi"/>
          <w:bCs/>
          <w:szCs w:val="26"/>
        </w:rPr>
        <w:t>PROGRAM OUTCOMES</w:t>
      </w:r>
    </w:p>
    <w:p w14:paraId="1A421E9A" w14:textId="77777777" w:rsidR="008B6C52" w:rsidRPr="00B277C1" w:rsidRDefault="008B6C52" w:rsidP="2B5176B0">
      <w:pPr>
        <w:pStyle w:val="NoSpacing"/>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As a result of participating in the Purdue Promise four-year experience, scholars will:</w:t>
      </w:r>
    </w:p>
    <w:p w14:paraId="16411843" w14:textId="77777777" w:rsidR="003D72C4" w:rsidRPr="00B277C1" w:rsidRDefault="003D72C4" w:rsidP="2B5176B0">
      <w:pPr>
        <w:pStyle w:val="NoSpacing"/>
        <w:numPr>
          <w:ilvl w:val="0"/>
          <w:numId w:val="8"/>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color w:val="000000" w:themeColor="text1"/>
        </w:rPr>
        <w:t>Maintain “on scholarship” status and utilize financial aid efficiently to graduate with a higher debt-free rate than the rate for undergraduate Indiana residents at Purdue.</w:t>
      </w:r>
    </w:p>
    <w:p w14:paraId="759CA780" w14:textId="77777777" w:rsidR="008B6C52" w:rsidRPr="00B277C1" w:rsidRDefault="008B6C52" w:rsidP="2B5176B0">
      <w:pPr>
        <w:pStyle w:val="NoSpacing"/>
        <w:numPr>
          <w:ilvl w:val="0"/>
          <w:numId w:val="8"/>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color w:val="000000" w:themeColor="text1"/>
        </w:rPr>
        <w:t>Maintain or return to good academic standing.</w:t>
      </w:r>
    </w:p>
    <w:p w14:paraId="51BAC562" w14:textId="77777777" w:rsidR="008B6C52" w:rsidRPr="00B277C1" w:rsidRDefault="008B6C52" w:rsidP="2B5176B0">
      <w:pPr>
        <w:pStyle w:val="NoSpacing"/>
        <w:numPr>
          <w:ilvl w:val="0"/>
          <w:numId w:val="8"/>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Report increased confidence in a defined set of life skills.</w:t>
      </w:r>
    </w:p>
    <w:p w14:paraId="05331E91" w14:textId="680E2BC0" w:rsidR="008B6C52" w:rsidRPr="00B277C1" w:rsidRDefault="008B6C52" w:rsidP="2B5176B0">
      <w:pPr>
        <w:pStyle w:val="NoSpacing"/>
        <w:numPr>
          <w:ilvl w:val="0"/>
          <w:numId w:val="8"/>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Reflect on the value of their experiences and </w:t>
      </w:r>
      <w:r w:rsidR="00023337" w:rsidRPr="00B277C1">
        <w:rPr>
          <w:rFonts w:ascii="Franklin Gothic Book" w:eastAsia="Franklin Gothic Book" w:hAnsi="Franklin Gothic Book" w:cs="Franklin Gothic Book"/>
        </w:rPr>
        <w:t>transferable</w:t>
      </w:r>
      <w:r w:rsidRPr="00B277C1">
        <w:rPr>
          <w:rFonts w:ascii="Franklin Gothic Book" w:eastAsia="Franklin Gothic Book" w:hAnsi="Franklin Gothic Book" w:cs="Franklin Gothic Book"/>
        </w:rPr>
        <w:t xml:space="preserve"> skills gained.</w:t>
      </w:r>
    </w:p>
    <w:p w14:paraId="45E97C95" w14:textId="40D06515" w:rsidR="008B6C52" w:rsidRPr="00B277C1" w:rsidRDefault="008B6C52" w:rsidP="2B5176B0">
      <w:pPr>
        <w:pStyle w:val="NoSpacing"/>
        <w:numPr>
          <w:ilvl w:val="0"/>
          <w:numId w:val="8"/>
        </w:numPr>
        <w:rPr>
          <w:rFonts w:ascii="Franklin Gothic Book" w:eastAsia="Franklin Gothic Book" w:hAnsi="Franklin Gothic Book" w:cs="Franklin Gothic Book"/>
          <w:color w:val="000000" w:themeColor="text1"/>
        </w:rPr>
      </w:pPr>
      <w:r w:rsidRPr="00B277C1">
        <w:rPr>
          <w:rFonts w:ascii="Franklin Gothic Book" w:eastAsia="Franklin Gothic Book" w:hAnsi="Franklin Gothic Book" w:cs="Franklin Gothic Book"/>
          <w:color w:val="000000" w:themeColor="text1"/>
        </w:rPr>
        <w:t xml:space="preserve">Demonstrate preparation to enter the workforce, </w:t>
      </w:r>
      <w:r w:rsidR="79A79599" w:rsidRPr="00B277C1">
        <w:rPr>
          <w:rFonts w:ascii="Franklin Gothic Book" w:eastAsia="Franklin Gothic Book" w:hAnsi="Franklin Gothic Book" w:cs="Franklin Gothic Book"/>
          <w:color w:val="000000" w:themeColor="text1"/>
        </w:rPr>
        <w:t xml:space="preserve">enroll in </w:t>
      </w:r>
      <w:r w:rsidRPr="00B277C1">
        <w:rPr>
          <w:rFonts w:ascii="Franklin Gothic Book" w:eastAsia="Franklin Gothic Book" w:hAnsi="Franklin Gothic Book" w:cs="Franklin Gothic Book"/>
          <w:color w:val="000000" w:themeColor="text1"/>
        </w:rPr>
        <w:t>professional</w:t>
      </w:r>
      <w:r w:rsidR="4248BAAD" w:rsidRPr="00B277C1">
        <w:rPr>
          <w:rFonts w:ascii="Franklin Gothic Book" w:eastAsia="Franklin Gothic Book" w:hAnsi="Franklin Gothic Book" w:cs="Franklin Gothic Book"/>
          <w:color w:val="000000" w:themeColor="text1"/>
        </w:rPr>
        <w:t xml:space="preserve"> or </w:t>
      </w:r>
      <w:r w:rsidRPr="00B277C1">
        <w:rPr>
          <w:rFonts w:ascii="Franklin Gothic Book" w:eastAsia="Franklin Gothic Book" w:hAnsi="Franklin Gothic Book" w:cs="Franklin Gothic Book"/>
          <w:color w:val="000000" w:themeColor="text1"/>
        </w:rPr>
        <w:t xml:space="preserve">graduate school, </w:t>
      </w:r>
      <w:r w:rsidR="3DC2EB58" w:rsidRPr="00B277C1">
        <w:rPr>
          <w:rFonts w:ascii="Franklin Gothic Book" w:eastAsia="Franklin Gothic Book" w:hAnsi="Franklin Gothic Book" w:cs="Franklin Gothic Book"/>
          <w:color w:val="000000" w:themeColor="text1"/>
        </w:rPr>
        <w:t xml:space="preserve">enlist in </w:t>
      </w:r>
      <w:r w:rsidR="5295F5F7" w:rsidRPr="00B277C1">
        <w:rPr>
          <w:rFonts w:ascii="Franklin Gothic Book" w:eastAsia="Franklin Gothic Book" w:hAnsi="Franklin Gothic Book" w:cs="Franklin Gothic Book"/>
          <w:color w:val="000000" w:themeColor="text1"/>
        </w:rPr>
        <w:t xml:space="preserve">the </w:t>
      </w:r>
      <w:r w:rsidRPr="00B277C1">
        <w:rPr>
          <w:rFonts w:ascii="Franklin Gothic Book" w:eastAsia="Franklin Gothic Book" w:hAnsi="Franklin Gothic Book" w:cs="Franklin Gothic Book"/>
          <w:color w:val="000000" w:themeColor="text1"/>
        </w:rPr>
        <w:t>military</w:t>
      </w:r>
      <w:r w:rsidR="1A8CF5D3" w:rsidRPr="00B277C1">
        <w:rPr>
          <w:rFonts w:ascii="Franklin Gothic Book" w:eastAsia="Franklin Gothic Book" w:hAnsi="Franklin Gothic Book" w:cs="Franklin Gothic Book"/>
          <w:color w:val="000000" w:themeColor="text1"/>
        </w:rPr>
        <w:t xml:space="preserve"> </w:t>
      </w:r>
      <w:r w:rsidRPr="00B277C1">
        <w:rPr>
          <w:rFonts w:ascii="Franklin Gothic Book" w:eastAsia="Franklin Gothic Book" w:hAnsi="Franklin Gothic Book" w:cs="Franklin Gothic Book"/>
          <w:color w:val="000000" w:themeColor="text1"/>
        </w:rPr>
        <w:t>or support a family after college.</w:t>
      </w:r>
    </w:p>
    <w:p w14:paraId="4C2F297A" w14:textId="77777777" w:rsidR="00FA10C5" w:rsidRPr="00694B06" w:rsidRDefault="00FA10C5" w:rsidP="2B5176B0">
      <w:pPr>
        <w:pStyle w:val="NoSpacing"/>
        <w:rPr>
          <w:rFonts w:ascii="Franklin Gothic Book" w:eastAsia="Franklin Gothic Book" w:hAnsi="Franklin Gothic Book" w:cs="Franklin Gothic Book"/>
          <w:color w:val="FF0000"/>
          <w:sz w:val="23"/>
          <w:szCs w:val="23"/>
        </w:rPr>
      </w:pPr>
    </w:p>
    <w:p w14:paraId="295D42F6" w14:textId="77777777" w:rsidR="008B6C52" w:rsidRPr="00B277C1" w:rsidRDefault="008B6C52" w:rsidP="2B5176B0">
      <w:pPr>
        <w:pStyle w:val="Heading1"/>
        <w:spacing w:before="0" w:line="240" w:lineRule="auto"/>
        <w:rPr>
          <w:rFonts w:ascii="Franklin Gothic Book" w:eastAsia="Franklin Gothic Demi" w:hAnsi="Franklin Gothic Book" w:cs="Franklin Gothic Demi"/>
          <w:bCs/>
          <w:color w:val="BF8F00" w:themeColor="accent4" w:themeShade="BF"/>
          <w:szCs w:val="26"/>
        </w:rPr>
      </w:pPr>
      <w:r w:rsidRPr="00B277C1">
        <w:rPr>
          <w:rFonts w:ascii="Franklin Gothic Book" w:eastAsia="Franklin Gothic Demi" w:hAnsi="Franklin Gothic Book" w:cs="Franklin Gothic Demi"/>
          <w:bCs/>
          <w:szCs w:val="26"/>
        </w:rPr>
        <w:t>NOTABLE CHANGES</w:t>
      </w:r>
    </w:p>
    <w:p w14:paraId="79DEA13E" w14:textId="5448B52B" w:rsidR="008B6C52" w:rsidRPr="00B277C1" w:rsidRDefault="1E22384D" w:rsidP="2B5176B0">
      <w:p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w:t>
      </w:r>
      <w:r w:rsidR="008B6C52" w:rsidRPr="00B277C1">
        <w:rPr>
          <w:rFonts w:ascii="Franklin Gothic Book" w:eastAsia="Franklin Gothic Book" w:hAnsi="Franklin Gothic Book" w:cs="Franklin Gothic Book"/>
        </w:rPr>
        <w:t xml:space="preserve">hanges for </w:t>
      </w:r>
      <w:r w:rsidR="263F161C" w:rsidRPr="00B277C1">
        <w:rPr>
          <w:rFonts w:ascii="Franklin Gothic Book" w:eastAsia="Franklin Gothic Book" w:hAnsi="Franklin Gothic Book" w:cs="Franklin Gothic Book"/>
        </w:rPr>
        <w:t xml:space="preserve">the </w:t>
      </w:r>
      <w:r w:rsidR="008B6C52" w:rsidRPr="00B277C1">
        <w:rPr>
          <w:rFonts w:ascii="Franklin Gothic Book" w:eastAsia="Franklin Gothic Book" w:hAnsi="Franklin Gothic Book" w:cs="Franklin Gothic Book"/>
        </w:rPr>
        <w:t>202</w:t>
      </w:r>
      <w:r w:rsidR="00023337" w:rsidRPr="00B277C1">
        <w:rPr>
          <w:rFonts w:ascii="Franklin Gothic Book" w:eastAsia="Franklin Gothic Book" w:hAnsi="Franklin Gothic Book" w:cs="Franklin Gothic Book"/>
        </w:rPr>
        <w:t>4</w:t>
      </w:r>
      <w:r w:rsidR="001E319E" w:rsidRPr="00B277C1">
        <w:rPr>
          <w:rFonts w:ascii="Franklin Gothic Book" w:eastAsia="Franklin Gothic Book" w:hAnsi="Franklin Gothic Book" w:cs="Franklin Gothic Book"/>
        </w:rPr>
        <w:t>-2</w:t>
      </w:r>
      <w:r w:rsidR="00023337" w:rsidRPr="00B277C1">
        <w:rPr>
          <w:rFonts w:ascii="Franklin Gothic Book" w:eastAsia="Franklin Gothic Book" w:hAnsi="Franklin Gothic Book" w:cs="Franklin Gothic Book"/>
        </w:rPr>
        <w:t>5</w:t>
      </w:r>
      <w:r w:rsidR="008B6C52" w:rsidRPr="00B277C1">
        <w:rPr>
          <w:rFonts w:ascii="Franklin Gothic Book" w:eastAsia="Franklin Gothic Book" w:hAnsi="Franklin Gothic Book" w:cs="Franklin Gothic Book"/>
        </w:rPr>
        <w:t xml:space="preserve"> </w:t>
      </w:r>
      <w:r w:rsidR="2429653D" w:rsidRPr="00B277C1">
        <w:rPr>
          <w:rFonts w:ascii="Franklin Gothic Book" w:eastAsia="Franklin Gothic Book" w:hAnsi="Franklin Gothic Book" w:cs="Franklin Gothic Book"/>
        </w:rPr>
        <w:t xml:space="preserve">academic year </w:t>
      </w:r>
      <w:r w:rsidR="008B6C52" w:rsidRPr="00B277C1">
        <w:rPr>
          <w:rFonts w:ascii="Franklin Gothic Book" w:eastAsia="Franklin Gothic Book" w:hAnsi="Franklin Gothic Book" w:cs="Franklin Gothic Book"/>
        </w:rPr>
        <w:t>include:</w:t>
      </w:r>
    </w:p>
    <w:p w14:paraId="0B7625D5" w14:textId="4C875DC9" w:rsidR="00316356" w:rsidRPr="00B277C1" w:rsidRDefault="00316356" w:rsidP="00316356">
      <w:pPr>
        <w:pStyle w:val="ListParagraph"/>
        <w:numPr>
          <w:ilvl w:val="0"/>
          <w:numId w:val="5"/>
        </w:numPr>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Starting with the 2025 cohort, all 21st Century Scholars are funded with Purdue Promise. (includes transfer students)</w:t>
      </w:r>
    </w:p>
    <w:p w14:paraId="4CAD4214" w14:textId="56DA3027" w:rsidR="008619A0" w:rsidRPr="00B277C1" w:rsidRDefault="008619A0" w:rsidP="2B5176B0">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Purdue Promise </w:t>
      </w:r>
      <w:r w:rsidR="7D3DA013" w:rsidRPr="00B277C1">
        <w:rPr>
          <w:rFonts w:ascii="Franklin Gothic Book" w:eastAsia="Franklin Gothic Book" w:hAnsi="Franklin Gothic Book" w:cs="Franklin Gothic Book"/>
        </w:rPr>
        <w:t xml:space="preserve">welcomed its first </w:t>
      </w:r>
      <w:r w:rsidR="00E35FB0" w:rsidRPr="00B277C1">
        <w:rPr>
          <w:rFonts w:ascii="Franklin Gothic Book" w:eastAsia="Franklin Gothic Book" w:hAnsi="Franklin Gothic Book" w:cs="Franklin Gothic Book"/>
        </w:rPr>
        <w:t>cohort</w:t>
      </w:r>
      <w:r w:rsidR="477F4596" w:rsidRPr="00B277C1">
        <w:rPr>
          <w:rFonts w:ascii="Franklin Gothic Book" w:eastAsia="Franklin Gothic Book" w:hAnsi="Franklin Gothic Book" w:cs="Franklin Gothic Book"/>
        </w:rPr>
        <w:t xml:space="preserve"> of 26 students</w:t>
      </w:r>
      <w:r w:rsidR="00E35FB0" w:rsidRPr="00B277C1">
        <w:rPr>
          <w:rFonts w:ascii="Franklin Gothic Book" w:eastAsia="Franklin Gothic Book" w:hAnsi="Franklin Gothic Book" w:cs="Franklin Gothic Book"/>
        </w:rPr>
        <w:t xml:space="preserve"> at </w:t>
      </w:r>
      <w:hyperlink r:id="rId10" w:history="1">
        <w:r w:rsidR="00E35FB0" w:rsidRPr="00B277C1">
          <w:rPr>
            <w:rStyle w:val="Hyperlink"/>
            <w:rFonts w:ascii="Franklin Gothic Book" w:eastAsia="Franklin Gothic Book" w:hAnsi="Franklin Gothic Book" w:cs="Franklin Gothic Book"/>
          </w:rPr>
          <w:t xml:space="preserve">Purdue </w:t>
        </w:r>
        <w:r w:rsidR="71069E7E" w:rsidRPr="00B277C1">
          <w:rPr>
            <w:rStyle w:val="Hyperlink"/>
            <w:rFonts w:ascii="Franklin Gothic Book" w:eastAsia="Franklin Gothic Book" w:hAnsi="Franklin Gothic Book" w:cs="Franklin Gothic Book"/>
          </w:rPr>
          <w:t xml:space="preserve">University in </w:t>
        </w:r>
        <w:r w:rsidR="00E35FB0" w:rsidRPr="00B277C1">
          <w:rPr>
            <w:rStyle w:val="Hyperlink"/>
            <w:rFonts w:ascii="Franklin Gothic Book" w:eastAsia="Franklin Gothic Book" w:hAnsi="Franklin Gothic Book" w:cs="Franklin Gothic Book"/>
          </w:rPr>
          <w:t>Indianapolis</w:t>
        </w:r>
      </w:hyperlink>
      <w:r w:rsidR="00E35FB0"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in August 2024.</w:t>
      </w:r>
    </w:p>
    <w:p w14:paraId="49C1F000" w14:textId="7A3A2347" w:rsidR="00E35FB0" w:rsidRPr="00B277C1" w:rsidRDefault="008619A0" w:rsidP="2B5176B0">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21</w:t>
      </w:r>
      <w:r w:rsidRPr="00B277C1">
        <w:rPr>
          <w:rFonts w:ascii="Franklin Gothic Book" w:eastAsia="Franklin Gothic Book" w:hAnsi="Franklin Gothic Book" w:cs="Franklin Gothic Book"/>
          <w:vertAlign w:val="superscript"/>
        </w:rPr>
        <w:t>st</w:t>
      </w:r>
      <w:r w:rsidRPr="00B277C1">
        <w:rPr>
          <w:rFonts w:ascii="Franklin Gothic Book" w:eastAsia="Franklin Gothic Book" w:hAnsi="Franklin Gothic Book" w:cs="Franklin Gothic Book"/>
        </w:rPr>
        <w:t xml:space="preserve"> Century Scholar</w:t>
      </w:r>
      <w:r w:rsidR="4513CD27" w:rsidRPr="00B277C1">
        <w:rPr>
          <w:rFonts w:ascii="Franklin Gothic Book" w:eastAsia="Franklin Gothic Book" w:hAnsi="Franklin Gothic Book" w:cs="Franklin Gothic Book"/>
        </w:rPr>
        <w:t>s welcomed its first</w:t>
      </w:r>
      <w:r w:rsidRPr="00B277C1">
        <w:rPr>
          <w:rFonts w:ascii="Franklin Gothic Book" w:eastAsia="Franklin Gothic Book" w:hAnsi="Franklin Gothic Book" w:cs="Franklin Gothic Book"/>
        </w:rPr>
        <w:t xml:space="preserve"> cohort </w:t>
      </w:r>
      <w:r w:rsidR="5C822CDF" w:rsidRPr="00B277C1">
        <w:rPr>
          <w:rFonts w:ascii="Franklin Gothic Book" w:eastAsia="Franklin Gothic Book" w:hAnsi="Franklin Gothic Book" w:cs="Franklin Gothic Book"/>
        </w:rPr>
        <w:t>of 1</w:t>
      </w:r>
      <w:r w:rsidR="00F13B73" w:rsidRPr="00B277C1">
        <w:rPr>
          <w:rFonts w:ascii="Franklin Gothic Book" w:eastAsia="Franklin Gothic Book" w:hAnsi="Franklin Gothic Book" w:cs="Franklin Gothic Book"/>
        </w:rPr>
        <w:t>80</w:t>
      </w:r>
      <w:r w:rsidR="5C822CDF" w:rsidRPr="00B277C1">
        <w:rPr>
          <w:rFonts w:ascii="Franklin Gothic Book" w:eastAsia="Franklin Gothic Book" w:hAnsi="Franklin Gothic Book" w:cs="Franklin Gothic Book"/>
        </w:rPr>
        <w:t xml:space="preserve"> students </w:t>
      </w:r>
      <w:r w:rsidRPr="00B277C1">
        <w:rPr>
          <w:rFonts w:ascii="Franklin Gothic Book" w:eastAsia="Franklin Gothic Book" w:hAnsi="Franklin Gothic Book" w:cs="Franklin Gothic Book"/>
        </w:rPr>
        <w:t>at the</w:t>
      </w:r>
      <w:r w:rsidR="1A3251CD"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Indianapolis location in August 2024.</w:t>
      </w:r>
    </w:p>
    <w:p w14:paraId="4772C85A" w14:textId="34C2735F" w:rsidR="00195E52" w:rsidRPr="00B277C1" w:rsidRDefault="00195E52" w:rsidP="00195E52">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Attended the Indiana Commission for Higher Education Commission Meeting in November 2024</w:t>
      </w:r>
      <w:r w:rsidR="00E449C6" w:rsidRPr="00B277C1">
        <w:rPr>
          <w:rFonts w:ascii="Franklin Gothic Book" w:eastAsia="Franklin Gothic Book" w:hAnsi="Franklin Gothic Book" w:cs="Franklin Gothic Book"/>
        </w:rPr>
        <w:t>.</w:t>
      </w:r>
    </w:p>
    <w:p w14:paraId="2748C31B" w14:textId="77777777" w:rsidR="00195E52" w:rsidRPr="00B277C1" w:rsidRDefault="00195E52" w:rsidP="00195E52">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Secured a second year of the College Success Coach Grant from the Indiana Commission of Higher Education in November 2024 to support 21</w:t>
      </w:r>
      <w:r w:rsidRPr="00B277C1">
        <w:rPr>
          <w:rFonts w:ascii="Franklin Gothic Book" w:eastAsia="Franklin Gothic Book" w:hAnsi="Franklin Gothic Book" w:cs="Franklin Gothic Book"/>
          <w:vertAlign w:val="superscript"/>
        </w:rPr>
        <w:t>st</w:t>
      </w:r>
      <w:r w:rsidRPr="00B277C1">
        <w:rPr>
          <w:rFonts w:ascii="Franklin Gothic Book" w:eastAsia="Franklin Gothic Book" w:hAnsi="Franklin Gothic Book" w:cs="Franklin Gothic Book"/>
        </w:rPr>
        <w:t xml:space="preserve"> Century Scholars who are not eligible for Purdue Promise.</w:t>
      </w:r>
    </w:p>
    <w:p w14:paraId="1E432F43" w14:textId="1C70ED9F" w:rsidR="008B6C52" w:rsidRPr="00B277C1" w:rsidRDefault="7BE0CD35" w:rsidP="2B5176B0">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w:t>
      </w:r>
      <w:r w:rsidR="008B6C52" w:rsidRPr="00B277C1">
        <w:rPr>
          <w:rFonts w:ascii="Franklin Gothic Book" w:eastAsia="Franklin Gothic Book" w:hAnsi="Franklin Gothic Book" w:cs="Franklin Gothic Book"/>
        </w:rPr>
        <w:t>ampus and community partnerships</w:t>
      </w:r>
      <w:r w:rsidR="008619A0" w:rsidRPr="00B277C1">
        <w:rPr>
          <w:rFonts w:ascii="Franklin Gothic Book" w:eastAsia="Franklin Gothic Book" w:hAnsi="Franklin Gothic Book" w:cs="Franklin Gothic Book"/>
        </w:rPr>
        <w:t xml:space="preserve"> </w:t>
      </w:r>
      <w:r w:rsidR="4E338A00" w:rsidRPr="00B277C1">
        <w:rPr>
          <w:rFonts w:ascii="Franklin Gothic Book" w:eastAsia="Franklin Gothic Book" w:hAnsi="Franklin Gothic Book" w:cs="Franklin Gothic Book"/>
        </w:rPr>
        <w:t xml:space="preserve">were </w:t>
      </w:r>
      <w:r w:rsidR="24F357E4" w:rsidRPr="00B277C1">
        <w:rPr>
          <w:rFonts w:ascii="Franklin Gothic Book" w:eastAsia="Franklin Gothic Book" w:hAnsi="Franklin Gothic Book" w:cs="Franklin Gothic Book"/>
        </w:rPr>
        <w:t>increased</w:t>
      </w:r>
      <w:r w:rsidR="4E338A00" w:rsidRPr="00B277C1">
        <w:rPr>
          <w:rFonts w:ascii="Franklin Gothic Book" w:eastAsia="Franklin Gothic Book" w:hAnsi="Franklin Gothic Book" w:cs="Franklin Gothic Book"/>
        </w:rPr>
        <w:t xml:space="preserve"> </w:t>
      </w:r>
      <w:r w:rsidR="008619A0" w:rsidRPr="00B277C1">
        <w:rPr>
          <w:rFonts w:ascii="Franklin Gothic Book" w:eastAsia="Franklin Gothic Book" w:hAnsi="Franklin Gothic Book" w:cs="Franklin Gothic Book"/>
        </w:rPr>
        <w:t xml:space="preserve">through </w:t>
      </w:r>
      <w:r w:rsidR="00F13B73" w:rsidRPr="00B277C1">
        <w:rPr>
          <w:rFonts w:ascii="Franklin Gothic Book" w:eastAsia="Franklin Gothic Book" w:hAnsi="Franklin Gothic Book" w:cs="Franklin Gothic Book"/>
        </w:rPr>
        <w:t xml:space="preserve">informational </w:t>
      </w:r>
      <w:r w:rsidR="008619A0" w:rsidRPr="00B277C1">
        <w:rPr>
          <w:rFonts w:ascii="Franklin Gothic Book" w:eastAsia="Franklin Gothic Book" w:hAnsi="Franklin Gothic Book" w:cs="Franklin Gothic Book"/>
        </w:rPr>
        <w:t>meetings, presentations</w:t>
      </w:r>
      <w:r w:rsidR="00F13B73" w:rsidRPr="00B277C1">
        <w:rPr>
          <w:rFonts w:ascii="Franklin Gothic Book" w:eastAsia="Franklin Gothic Book" w:hAnsi="Franklin Gothic Book" w:cs="Franklin Gothic Book"/>
        </w:rPr>
        <w:t>,</w:t>
      </w:r>
      <w:r w:rsidR="65F13679" w:rsidRPr="00B277C1">
        <w:rPr>
          <w:rFonts w:ascii="Franklin Gothic Book" w:eastAsia="Franklin Gothic Book" w:hAnsi="Franklin Gothic Book" w:cs="Franklin Gothic Book"/>
        </w:rPr>
        <w:t xml:space="preserve"> </w:t>
      </w:r>
      <w:r w:rsidR="008619A0" w:rsidRPr="00B277C1">
        <w:rPr>
          <w:rFonts w:ascii="Franklin Gothic Book" w:eastAsia="Franklin Gothic Book" w:hAnsi="Franklin Gothic Book" w:cs="Franklin Gothic Book"/>
        </w:rPr>
        <w:t>and donations</w:t>
      </w:r>
      <w:r w:rsidR="008B6C52" w:rsidRPr="00B277C1">
        <w:rPr>
          <w:rFonts w:ascii="Franklin Gothic Book" w:eastAsia="Franklin Gothic Book" w:hAnsi="Franklin Gothic Book" w:cs="Franklin Gothic Book"/>
        </w:rPr>
        <w:t>,</w:t>
      </w:r>
      <w:r w:rsidR="00F13B73" w:rsidRPr="00B277C1">
        <w:rPr>
          <w:rFonts w:ascii="Franklin Gothic Book" w:eastAsia="Franklin Gothic Book" w:hAnsi="Franklin Gothic Book" w:cs="Franklin Gothic Book"/>
        </w:rPr>
        <w:t xml:space="preserve"> which has</w:t>
      </w:r>
      <w:r w:rsidR="008619A0" w:rsidRPr="00B277C1">
        <w:rPr>
          <w:rFonts w:ascii="Franklin Gothic Book" w:eastAsia="Franklin Gothic Book" w:hAnsi="Franklin Gothic Book" w:cs="Franklin Gothic Book"/>
        </w:rPr>
        <w:t xml:space="preserve"> </w:t>
      </w:r>
      <w:r w:rsidR="59F070AE" w:rsidRPr="00B277C1">
        <w:rPr>
          <w:rFonts w:ascii="Franklin Gothic Book" w:eastAsia="Franklin Gothic Book" w:hAnsi="Franklin Gothic Book" w:cs="Franklin Gothic Book"/>
        </w:rPr>
        <w:t>add</w:t>
      </w:r>
      <w:r w:rsidR="00F13B73" w:rsidRPr="00B277C1">
        <w:rPr>
          <w:rFonts w:ascii="Franklin Gothic Book" w:eastAsia="Franklin Gothic Book" w:hAnsi="Franklin Gothic Book" w:cs="Franklin Gothic Book"/>
        </w:rPr>
        <w:t>ed</w:t>
      </w:r>
      <w:r w:rsidR="008B6C52" w:rsidRPr="00B277C1">
        <w:rPr>
          <w:rFonts w:ascii="Franklin Gothic Book" w:eastAsia="Franklin Gothic Book" w:hAnsi="Franklin Gothic Book" w:cs="Franklin Gothic Book"/>
        </w:rPr>
        <w:t xml:space="preserve"> value to the 21</w:t>
      </w:r>
      <w:r w:rsidR="008B6C52" w:rsidRPr="00B277C1">
        <w:rPr>
          <w:rFonts w:ascii="Franklin Gothic Book" w:eastAsia="Franklin Gothic Book" w:hAnsi="Franklin Gothic Book" w:cs="Franklin Gothic Book"/>
          <w:vertAlign w:val="superscript"/>
        </w:rPr>
        <w:t>st</w:t>
      </w:r>
      <w:r w:rsidR="008B6C52" w:rsidRPr="00B277C1">
        <w:rPr>
          <w:rFonts w:ascii="Franklin Gothic Book" w:eastAsia="Franklin Gothic Book" w:hAnsi="Franklin Gothic Book" w:cs="Franklin Gothic Book"/>
        </w:rPr>
        <w:t xml:space="preserve"> Century Scholars Campus Mentor Network</w:t>
      </w:r>
      <w:r w:rsidR="008619A0" w:rsidRPr="00B277C1">
        <w:rPr>
          <w:rFonts w:ascii="Franklin Gothic Book" w:eastAsia="Franklin Gothic Book" w:hAnsi="Franklin Gothic Book" w:cs="Franklin Gothic Book"/>
        </w:rPr>
        <w:t>.</w:t>
      </w:r>
    </w:p>
    <w:p w14:paraId="6DC17FCA" w14:textId="5F346FEB" w:rsidR="008F6389" w:rsidRPr="00B277C1" w:rsidRDefault="00055104" w:rsidP="2B5176B0">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Hosted programming events </w:t>
      </w:r>
      <w:r w:rsidR="008F6389" w:rsidRPr="00B277C1">
        <w:rPr>
          <w:rFonts w:ascii="Franklin Gothic Book" w:eastAsia="Franklin Gothic Book" w:hAnsi="Franklin Gothic Book" w:cs="Franklin Gothic Book"/>
        </w:rPr>
        <w:t xml:space="preserve">in collaboration with campus and community partners </w:t>
      </w:r>
      <w:r w:rsidRPr="00B277C1">
        <w:rPr>
          <w:rFonts w:ascii="Franklin Gothic Book" w:eastAsia="Franklin Gothic Book" w:hAnsi="Franklin Gothic Book" w:cs="Franklin Gothic Book"/>
        </w:rPr>
        <w:t>t</w:t>
      </w:r>
      <w:r w:rsidR="5BBA00DF" w:rsidRPr="00B277C1">
        <w:rPr>
          <w:rFonts w:ascii="Franklin Gothic Book" w:eastAsia="Franklin Gothic Book" w:hAnsi="Franklin Gothic Book" w:cs="Franklin Gothic Book"/>
        </w:rPr>
        <w:t xml:space="preserve">o </w:t>
      </w:r>
      <w:r w:rsidR="00ED1378" w:rsidRPr="00B277C1">
        <w:rPr>
          <w:rFonts w:ascii="Franklin Gothic Book" w:eastAsia="Franklin Gothic Book" w:hAnsi="Franklin Gothic Book" w:cs="Franklin Gothic Book"/>
        </w:rPr>
        <w:t>support student development in the areas of</w:t>
      </w:r>
      <w:r w:rsidR="008F6389" w:rsidRPr="00B277C1">
        <w:rPr>
          <w:rFonts w:ascii="Franklin Gothic Book" w:eastAsia="Franklin Gothic Book" w:hAnsi="Franklin Gothic Book" w:cs="Franklin Gothic Book"/>
        </w:rPr>
        <w:t>:</w:t>
      </w:r>
    </w:p>
    <w:p w14:paraId="656F949E" w14:textId="3EA04E21" w:rsidR="008F6389" w:rsidRPr="00B277C1" w:rsidRDefault="00ED1378" w:rsidP="008F6389">
      <w:pPr>
        <w:pStyle w:val="ListParagraph"/>
        <w:numPr>
          <w:ilvl w:val="1"/>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Academic Performance and Persistence (academic support)</w:t>
      </w:r>
    </w:p>
    <w:p w14:paraId="5424254F" w14:textId="79320431" w:rsidR="008F6389" w:rsidRPr="00B277C1" w:rsidRDefault="008F6389" w:rsidP="008F6389">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G.R.A.D. Talk</w:t>
      </w:r>
      <w:r w:rsidR="005933A2" w:rsidRPr="00B277C1">
        <w:rPr>
          <w:rFonts w:ascii="Franklin Gothic Book" w:eastAsia="Franklin Gothic Book" w:hAnsi="Franklin Gothic Book" w:cs="Franklin Gothic Book"/>
        </w:rPr>
        <w:t xml:space="preserve"> Panel</w:t>
      </w:r>
      <w:r w:rsidRPr="00B277C1">
        <w:rPr>
          <w:rFonts w:ascii="Franklin Gothic Book" w:eastAsia="Franklin Gothic Book" w:hAnsi="Franklin Gothic Book" w:cs="Franklin Gothic Book"/>
        </w:rPr>
        <w:t xml:space="preserve"> in collaboration with </w:t>
      </w:r>
      <w:hyperlink r:id="rId11" w:history="1">
        <w:r w:rsidRPr="00B277C1">
          <w:rPr>
            <w:rStyle w:val="Hyperlink"/>
            <w:rFonts w:ascii="Franklin Gothic Book" w:eastAsia="Franklin Gothic Book" w:hAnsi="Franklin Gothic Book" w:cs="Franklin Gothic Book"/>
          </w:rPr>
          <w:t>Horizons</w:t>
        </w:r>
        <w:r w:rsidR="005933A2" w:rsidRPr="00B277C1">
          <w:rPr>
            <w:rStyle w:val="Hyperlink"/>
            <w:rFonts w:ascii="Franklin Gothic Book" w:eastAsia="Franklin Gothic Book" w:hAnsi="Franklin Gothic Book" w:cs="Franklin Gothic Book"/>
          </w:rPr>
          <w:t xml:space="preserve"> Student Support Services Program</w:t>
        </w:r>
      </w:hyperlink>
    </w:p>
    <w:p w14:paraId="60A860C0" w14:textId="5BEB9C1B" w:rsidR="008F6389" w:rsidRPr="00B277C1" w:rsidRDefault="008F6389" w:rsidP="008F6389">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lastRenderedPageBreak/>
        <w:t>Rising Professionals presentation</w:t>
      </w:r>
    </w:p>
    <w:p w14:paraId="060BB8F2" w14:textId="26E2274D" w:rsidR="008F6389" w:rsidRPr="00B277C1" w:rsidRDefault="00ED1378" w:rsidP="008F6389">
      <w:pPr>
        <w:pStyle w:val="ListParagraph"/>
        <w:numPr>
          <w:ilvl w:val="1"/>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Student Engagement and Enrichment (social and civic engagement)</w:t>
      </w:r>
    </w:p>
    <w:p w14:paraId="63169698" w14:textId="5208147F" w:rsidR="004E00AD" w:rsidRPr="00B277C1" w:rsidRDefault="004E00AD" w:rsidP="004E00AD">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Community Tracks Day and Purdue for Me’s participation with the </w:t>
      </w:r>
      <w:hyperlink r:id="rId12" w:history="1">
        <w:r w:rsidRPr="00B277C1">
          <w:rPr>
            <w:rStyle w:val="Hyperlink"/>
            <w:rFonts w:ascii="Franklin Gothic Book" w:eastAsia="Franklin Gothic Book" w:hAnsi="Franklin Gothic Book" w:cs="Franklin Gothic Book"/>
          </w:rPr>
          <w:t>Office of Undergraduate Admissions</w:t>
        </w:r>
      </w:hyperlink>
    </w:p>
    <w:p w14:paraId="61F58E81" w14:textId="025EF46B" w:rsidR="008F6389" w:rsidRPr="00B277C1" w:rsidRDefault="008F6389" w:rsidP="008F6389">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MLK Day Jr. Day of Service</w:t>
      </w:r>
      <w:r w:rsidR="005933A2" w:rsidRPr="00B277C1">
        <w:rPr>
          <w:rFonts w:ascii="Franklin Gothic Book" w:eastAsia="Franklin Gothic Book" w:hAnsi="Franklin Gothic Book" w:cs="Franklin Gothic Book"/>
        </w:rPr>
        <w:t xml:space="preserve"> participation with the </w:t>
      </w:r>
      <w:hyperlink r:id="rId13" w:history="1">
        <w:r w:rsidR="005933A2" w:rsidRPr="00B277C1">
          <w:rPr>
            <w:rStyle w:val="Hyperlink"/>
            <w:rFonts w:ascii="Franklin Gothic Book" w:eastAsia="Franklin Gothic Book" w:hAnsi="Franklin Gothic Book" w:cs="Franklin Gothic Book"/>
          </w:rPr>
          <w:t>Leadership and Professional Development Department (LEAD)</w:t>
        </w:r>
      </w:hyperlink>
    </w:p>
    <w:p w14:paraId="318FF3A1" w14:textId="1CD2D56F" w:rsidR="005933A2" w:rsidRPr="00B277C1" w:rsidRDefault="005933A2" w:rsidP="008F6389">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Out of Darkness Walk participation with the American Foundation for Suicide Prevention (AFSP)</w:t>
      </w:r>
    </w:p>
    <w:p w14:paraId="04E0731D" w14:textId="1313FF13" w:rsidR="004E00AD" w:rsidRPr="00B277C1" w:rsidRDefault="004E00AD" w:rsidP="004E00AD">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Program tabling  for Boiler Fest, Express Fest, and the Rainbow Callout events hosted by the various Campus Cultural Centers</w:t>
      </w:r>
    </w:p>
    <w:p w14:paraId="0724DAC5" w14:textId="4D0A6A3F" w:rsidR="008F6389" w:rsidRPr="00B277C1" w:rsidRDefault="00ED1378" w:rsidP="008F6389">
      <w:pPr>
        <w:pStyle w:val="ListParagraph"/>
        <w:numPr>
          <w:ilvl w:val="1"/>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Career Exploration and Preparation (career development)</w:t>
      </w:r>
    </w:p>
    <w:p w14:paraId="1595F22A" w14:textId="097187FA" w:rsidR="008F6389" w:rsidRPr="00B277C1" w:rsidRDefault="008F6389" w:rsidP="008F6389">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Resume workshop</w:t>
      </w:r>
      <w:r w:rsidR="005933A2" w:rsidRPr="00B277C1">
        <w:rPr>
          <w:rFonts w:ascii="Franklin Gothic Book" w:eastAsia="Franklin Gothic Book" w:hAnsi="Franklin Gothic Book" w:cs="Franklin Gothic Book"/>
        </w:rPr>
        <w:t>,</w:t>
      </w:r>
      <w:r w:rsidRPr="00B277C1">
        <w:rPr>
          <w:rFonts w:ascii="Franklin Gothic Book" w:eastAsia="Franklin Gothic Book" w:hAnsi="Franklin Gothic Book" w:cs="Franklin Gothic Book"/>
        </w:rPr>
        <w:t xml:space="preserve"> Mock interviews</w:t>
      </w:r>
      <w:r w:rsidR="005933A2" w:rsidRPr="00B277C1">
        <w:rPr>
          <w:rFonts w:ascii="Franklin Gothic Book" w:eastAsia="Franklin Gothic Book" w:hAnsi="Franklin Gothic Book" w:cs="Franklin Gothic Book"/>
        </w:rPr>
        <w:t xml:space="preserve">, and </w:t>
      </w:r>
      <w:r w:rsidRPr="00B277C1">
        <w:rPr>
          <w:rFonts w:ascii="Franklin Gothic Book" w:eastAsia="Franklin Gothic Book" w:hAnsi="Franklin Gothic Book" w:cs="Franklin Gothic Book"/>
        </w:rPr>
        <w:t>Career Closet</w:t>
      </w:r>
      <w:r w:rsidR="005933A2" w:rsidRPr="00B277C1">
        <w:rPr>
          <w:rFonts w:ascii="Franklin Gothic Book" w:eastAsia="Franklin Gothic Book" w:hAnsi="Franklin Gothic Book" w:cs="Franklin Gothic Book"/>
        </w:rPr>
        <w:t xml:space="preserve"> tour in collaboration with the </w:t>
      </w:r>
      <w:hyperlink r:id="rId14" w:history="1">
        <w:r w:rsidR="005933A2" w:rsidRPr="00B277C1">
          <w:rPr>
            <w:rStyle w:val="Hyperlink"/>
            <w:rFonts w:ascii="Franklin Gothic Book" w:eastAsia="Franklin Gothic Book" w:hAnsi="Franklin Gothic Book" w:cs="Franklin Gothic Book"/>
          </w:rPr>
          <w:t>Center for Career Opportunities (CCO)</w:t>
        </w:r>
      </w:hyperlink>
    </w:p>
    <w:p w14:paraId="51A49913" w14:textId="61D209C0" w:rsidR="008F6389" w:rsidRPr="00B277C1" w:rsidRDefault="005933A2" w:rsidP="008F6389">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L</w:t>
      </w:r>
      <w:r w:rsidR="008F6389" w:rsidRPr="00B277C1">
        <w:rPr>
          <w:rFonts w:ascii="Franklin Gothic Book" w:eastAsia="Franklin Gothic Book" w:hAnsi="Franklin Gothic Book" w:cs="Franklin Gothic Book"/>
        </w:rPr>
        <w:t xml:space="preserve">unch &amp; </w:t>
      </w:r>
      <w:r w:rsidRPr="00B277C1">
        <w:rPr>
          <w:rFonts w:ascii="Franklin Gothic Book" w:eastAsia="Franklin Gothic Book" w:hAnsi="Franklin Gothic Book" w:cs="Franklin Gothic Book"/>
        </w:rPr>
        <w:t>L</w:t>
      </w:r>
      <w:r w:rsidR="008F6389" w:rsidRPr="00B277C1">
        <w:rPr>
          <w:rFonts w:ascii="Franklin Gothic Book" w:eastAsia="Franklin Gothic Book" w:hAnsi="Franklin Gothic Book" w:cs="Franklin Gothic Book"/>
        </w:rPr>
        <w:t>earn</w:t>
      </w:r>
      <w:r w:rsidRPr="00B277C1">
        <w:rPr>
          <w:rFonts w:ascii="Franklin Gothic Book" w:eastAsia="Franklin Gothic Book" w:hAnsi="Franklin Gothic Book" w:cs="Franklin Gothic Book"/>
        </w:rPr>
        <w:t xml:space="preserve"> sessions in collaboration with the </w:t>
      </w:r>
      <w:hyperlink r:id="rId15" w:history="1">
        <w:r w:rsidRPr="00B277C1">
          <w:rPr>
            <w:rStyle w:val="Hyperlink"/>
            <w:rFonts w:ascii="Franklin Gothic Book" w:eastAsia="Franklin Gothic Book" w:hAnsi="Franklin Gothic Book" w:cs="Franklin Gothic Book"/>
          </w:rPr>
          <w:t>Data Mine</w:t>
        </w:r>
      </w:hyperlink>
    </w:p>
    <w:p w14:paraId="0EE97124" w14:textId="2BE97A8E" w:rsidR="00ED1378" w:rsidRPr="00B277C1" w:rsidRDefault="00ED1378" w:rsidP="008F6389">
      <w:pPr>
        <w:pStyle w:val="ListParagraph"/>
        <w:numPr>
          <w:ilvl w:val="1"/>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Financial Literacy and Debt Management (financial literacy)</w:t>
      </w:r>
    </w:p>
    <w:p w14:paraId="634556E0" w14:textId="7F77D5CC" w:rsidR="008F6389" w:rsidRPr="00B277C1" w:rsidRDefault="008F6389" w:rsidP="008F6389">
      <w:pPr>
        <w:pStyle w:val="ListParagraph"/>
        <w:numPr>
          <w:ilvl w:val="2"/>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Foundations of Financial Planning</w:t>
      </w:r>
      <w:r w:rsidR="005933A2" w:rsidRPr="00B277C1">
        <w:rPr>
          <w:rFonts w:ascii="Franklin Gothic Book" w:eastAsia="Franklin Gothic Book" w:hAnsi="Franklin Gothic Book" w:cs="Franklin Gothic Book"/>
        </w:rPr>
        <w:t xml:space="preserve"> presentations</w:t>
      </w:r>
    </w:p>
    <w:p w14:paraId="632E362C" w14:textId="77777777" w:rsidR="00195E52" w:rsidRPr="00B277C1" w:rsidRDefault="00195E52" w:rsidP="00195E52">
      <w:pPr>
        <w:pStyle w:val="ListParagraph"/>
        <w:numPr>
          <w:ilvl w:val="0"/>
          <w:numId w:val="5"/>
        </w:numPr>
        <w:spacing w:after="0" w:line="240" w:lineRule="auto"/>
        <w:rPr>
          <w:rFonts w:ascii="Franklin Gothic Book" w:eastAsia="Franklin Gothic Book" w:hAnsi="Franklin Gothic Book" w:cs="Franklin Gothic Book"/>
          <w:color w:val="000000" w:themeColor="text1"/>
        </w:rPr>
      </w:pPr>
      <w:r w:rsidRPr="00B277C1">
        <w:rPr>
          <w:rFonts w:ascii="Franklin Gothic Book" w:eastAsia="Franklin Gothic Book" w:hAnsi="Franklin Gothic Book" w:cs="Franklin Gothic Book"/>
          <w:color w:val="000000" w:themeColor="text1"/>
        </w:rPr>
        <w:t>Katelyn Simon earned Master’s in Higher Education from Purdue Global in March 2025 from Purdue Global.</w:t>
      </w:r>
    </w:p>
    <w:p w14:paraId="4A41B46A" w14:textId="22D0C8AC" w:rsidR="00BC07D0" w:rsidRPr="00B277C1" w:rsidRDefault="00BC07D0" w:rsidP="00BC07D0">
      <w:pPr>
        <w:pStyle w:val="ListParagraph"/>
        <w:numPr>
          <w:ilvl w:val="0"/>
          <w:numId w:val="5"/>
        </w:numPr>
        <w:rPr>
          <w:rFonts w:ascii="Franklin Gothic Book" w:hAnsi="Franklin Gothic Book" w:cs="Times New Roman"/>
          <w:color w:val="000000" w:themeColor="text1"/>
        </w:rPr>
      </w:pPr>
      <w:r w:rsidRPr="00B277C1">
        <w:rPr>
          <w:rFonts w:ascii="Franklin Gothic Book" w:hAnsi="Franklin Gothic Book" w:cs="Times New Roman"/>
          <w:color w:val="000000" w:themeColor="text1"/>
        </w:rPr>
        <w:t xml:space="preserve">Desmine Robinson served as a co-led for the </w:t>
      </w:r>
      <w:r w:rsidR="00BF4E12" w:rsidRPr="00B277C1">
        <w:rPr>
          <w:rFonts w:ascii="Franklin Gothic Book" w:hAnsi="Franklin Gothic Book" w:cs="Times New Roman"/>
          <w:color w:val="000000" w:themeColor="text1"/>
        </w:rPr>
        <w:t xml:space="preserve">Alternative Breaks Experience with </w:t>
      </w:r>
      <w:r w:rsidRPr="00B277C1">
        <w:rPr>
          <w:rFonts w:ascii="Franklin Gothic Book" w:hAnsi="Franklin Gothic Book" w:cs="Times New Roman"/>
          <w:color w:val="000000" w:themeColor="text1"/>
        </w:rPr>
        <w:t>Horizons Student Support Services</w:t>
      </w:r>
      <w:r w:rsidR="00E449C6" w:rsidRPr="00B277C1">
        <w:rPr>
          <w:rFonts w:ascii="Franklin Gothic Book" w:hAnsi="Franklin Gothic Book" w:cs="Times New Roman"/>
          <w:color w:val="000000" w:themeColor="text1"/>
        </w:rPr>
        <w:t>.</w:t>
      </w:r>
    </w:p>
    <w:p w14:paraId="395DFD04" w14:textId="2883F4AA" w:rsidR="008F6389" w:rsidRPr="00B277C1" w:rsidRDefault="00D43E7E" w:rsidP="008F6389">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Hosted a campus visit for </w:t>
      </w:r>
      <w:r w:rsidR="008F6389" w:rsidRPr="00B277C1">
        <w:rPr>
          <w:rFonts w:ascii="Franklin Gothic Book" w:eastAsia="Franklin Gothic Book" w:hAnsi="Franklin Gothic Book" w:cs="Franklin Gothic Book"/>
        </w:rPr>
        <w:t>North Central High School in April 2025 for prospective 21</w:t>
      </w:r>
      <w:r w:rsidR="008F6389" w:rsidRPr="00B277C1">
        <w:rPr>
          <w:rFonts w:ascii="Franklin Gothic Book" w:eastAsia="Franklin Gothic Book" w:hAnsi="Franklin Gothic Book" w:cs="Franklin Gothic Book"/>
          <w:vertAlign w:val="superscript"/>
        </w:rPr>
        <w:t>st</w:t>
      </w:r>
      <w:r w:rsidR="008F6389" w:rsidRPr="00B277C1">
        <w:rPr>
          <w:rFonts w:ascii="Franklin Gothic Book" w:eastAsia="Franklin Gothic Book" w:hAnsi="Franklin Gothic Book" w:cs="Franklin Gothic Book"/>
        </w:rPr>
        <w:t xml:space="preserve"> Century Scholar Students.</w:t>
      </w:r>
    </w:p>
    <w:p w14:paraId="7DACF640" w14:textId="1A7B568B" w:rsidR="00195E52" w:rsidRPr="00B277C1" w:rsidRDefault="00195E52" w:rsidP="00195E52">
      <w:pPr>
        <w:pStyle w:val="ListParagraph"/>
        <w:numPr>
          <w:ilvl w:val="0"/>
          <w:numId w:val="5"/>
        </w:numPr>
        <w:rPr>
          <w:rFonts w:ascii="Franklin Gothic Book" w:hAnsi="Franklin Gothic Book" w:cs="Times New Roman"/>
        </w:rPr>
      </w:pPr>
      <w:r w:rsidRPr="00B277C1">
        <w:rPr>
          <w:rFonts w:ascii="Franklin Gothic Book" w:hAnsi="Franklin Gothic Book" w:cs="Times New Roman"/>
        </w:rPr>
        <w:t>Participated in Purdue Day of Giving and was ranked #57 while raising $2,417!</w:t>
      </w:r>
    </w:p>
    <w:p w14:paraId="79D8A9CB" w14:textId="0728267D" w:rsidR="00195E52" w:rsidRPr="00B277C1" w:rsidRDefault="00195E52" w:rsidP="00195E52">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Hosted our study abroad programs to Spain</w:t>
      </w:r>
      <w:r w:rsidR="008A136D" w:rsidRPr="00B277C1">
        <w:rPr>
          <w:rFonts w:ascii="Franklin Gothic Book" w:eastAsia="Franklin Gothic Book" w:hAnsi="Franklin Gothic Book" w:cs="Franklin Gothic Book"/>
        </w:rPr>
        <w:t xml:space="preserve"> in</w:t>
      </w:r>
      <w:r w:rsidRPr="00B277C1">
        <w:rPr>
          <w:rFonts w:ascii="Franklin Gothic Book" w:eastAsia="Franklin Gothic Book" w:hAnsi="Franklin Gothic Book" w:cs="Franklin Gothic Book"/>
        </w:rPr>
        <w:t xml:space="preserve"> May 2025 with 15 scholars.</w:t>
      </w:r>
    </w:p>
    <w:p w14:paraId="07F6D1DA" w14:textId="77777777" w:rsidR="00195E52" w:rsidRPr="00B277C1" w:rsidRDefault="00195E52" w:rsidP="00195E52">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Study abroad scholars completed pre- and post-tests for the Intercultural Development Inventory (IDI), resulting in a collective gain of 10 IDI points in improved student outcomes as a result of their three-week immersive experience.</w:t>
      </w:r>
    </w:p>
    <w:p w14:paraId="591F475C" w14:textId="7396182E" w:rsidR="00A95A67" w:rsidRPr="00B277C1" w:rsidRDefault="00A95A67" w:rsidP="00A95A67">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The Purdue Promise Instagram account currently has 977 followers, and the Facebook account currently has 1,000 followers. The 21</w:t>
      </w:r>
      <w:r w:rsidRPr="00B277C1">
        <w:rPr>
          <w:rFonts w:ascii="Franklin Gothic Book" w:eastAsia="Franklin Gothic Book" w:hAnsi="Franklin Gothic Book" w:cs="Franklin Gothic Book"/>
          <w:vertAlign w:val="superscript"/>
        </w:rPr>
        <w:t>st</w:t>
      </w:r>
      <w:r w:rsidRPr="00B277C1">
        <w:rPr>
          <w:rFonts w:ascii="Franklin Gothic Book" w:eastAsia="Franklin Gothic Book" w:hAnsi="Franklin Gothic Book" w:cs="Franklin Gothic Book"/>
        </w:rPr>
        <w:t xml:space="preserve"> Century Scholars Support Program’ Instagram account has 176 followers, and its Facebook account has 366 followers.</w:t>
      </w:r>
    </w:p>
    <w:p w14:paraId="65C046A3" w14:textId="18150B6F" w:rsidR="008F6389" w:rsidRPr="00B277C1" w:rsidRDefault="00D43E7E" w:rsidP="00D43E7E">
      <w:pPr>
        <w:pStyle w:val="ListParagraph"/>
        <w:numPr>
          <w:ilvl w:val="0"/>
          <w:numId w:val="5"/>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Participated in events hosted at the Indiana Black Expo (</w:t>
      </w:r>
      <w:r w:rsidR="008F6389" w:rsidRPr="00B277C1">
        <w:rPr>
          <w:rFonts w:ascii="Franklin Gothic Book" w:eastAsia="Franklin Gothic Book" w:hAnsi="Franklin Gothic Book" w:cs="Franklin Gothic Book"/>
        </w:rPr>
        <w:t>IBE</w:t>
      </w:r>
      <w:r w:rsidRPr="00B277C1">
        <w:rPr>
          <w:rFonts w:ascii="Franklin Gothic Book" w:eastAsia="Franklin Gothic Book" w:hAnsi="Franklin Gothic Book" w:cs="Franklin Gothic Book"/>
        </w:rPr>
        <w:t>)</w:t>
      </w:r>
      <w:r w:rsidR="008F6389" w:rsidRPr="00B277C1">
        <w:rPr>
          <w:rFonts w:ascii="Franklin Gothic Book" w:eastAsia="Franklin Gothic Book" w:hAnsi="Franklin Gothic Book" w:cs="Franklin Gothic Book"/>
        </w:rPr>
        <w:t xml:space="preserve"> in July 2025</w:t>
      </w:r>
      <w:r w:rsidRPr="00B277C1">
        <w:rPr>
          <w:rFonts w:ascii="Franklin Gothic Book" w:eastAsia="Franklin Gothic Book" w:hAnsi="Franklin Gothic Book" w:cs="Franklin Gothic Book"/>
        </w:rPr>
        <w:t xml:space="preserve"> for prospective 21</w:t>
      </w:r>
      <w:r w:rsidRPr="00B277C1">
        <w:rPr>
          <w:rFonts w:ascii="Franklin Gothic Book" w:eastAsia="Franklin Gothic Book" w:hAnsi="Franklin Gothic Book" w:cs="Franklin Gothic Book"/>
          <w:vertAlign w:val="superscript"/>
        </w:rPr>
        <w:t>st</w:t>
      </w:r>
      <w:r w:rsidRPr="00B277C1">
        <w:rPr>
          <w:rFonts w:ascii="Franklin Gothic Book" w:eastAsia="Franklin Gothic Book" w:hAnsi="Franklin Gothic Book" w:cs="Franklin Gothic Book"/>
        </w:rPr>
        <w:t xml:space="preserve"> Century Scholar Students.</w:t>
      </w:r>
    </w:p>
    <w:p w14:paraId="39386F17" w14:textId="57C57F1B" w:rsidR="00195E52" w:rsidRPr="00B277C1" w:rsidRDefault="00195E52" w:rsidP="00195E52">
      <w:pPr>
        <w:pStyle w:val="ListParagraph"/>
        <w:numPr>
          <w:ilvl w:val="0"/>
          <w:numId w:val="5"/>
        </w:numPr>
        <w:spacing w:after="0" w:line="240" w:lineRule="auto"/>
        <w:rPr>
          <w:rFonts w:ascii="Franklin Gothic Book" w:eastAsia="Franklin Gothic Book" w:hAnsi="Franklin Gothic Book" w:cs="Franklin Gothic Book"/>
          <w:color w:val="000000" w:themeColor="text1"/>
        </w:rPr>
      </w:pPr>
      <w:r w:rsidRPr="00B277C1">
        <w:rPr>
          <w:rFonts w:ascii="Franklin Gothic Book" w:eastAsia="Franklin Gothic Book" w:hAnsi="Franklin Gothic Book" w:cs="Franklin Gothic Book"/>
          <w:color w:val="000000" w:themeColor="text1"/>
        </w:rPr>
        <w:t>Martina McQuay was hired as a Student Success Coach in July 2025</w:t>
      </w:r>
      <w:r w:rsidR="000E36BD" w:rsidRPr="00B277C1">
        <w:rPr>
          <w:rFonts w:ascii="Franklin Gothic Book" w:eastAsia="Franklin Gothic Book" w:hAnsi="Franklin Gothic Book" w:cs="Franklin Gothic Book"/>
          <w:color w:val="000000" w:themeColor="text1"/>
        </w:rPr>
        <w:t>.</w:t>
      </w:r>
    </w:p>
    <w:p w14:paraId="4D50E5D1" w14:textId="77777777" w:rsidR="000E36BD" w:rsidRPr="00B277C1" w:rsidRDefault="000E36BD" w:rsidP="000E36BD">
      <w:pPr>
        <w:pStyle w:val="ListParagraph"/>
        <w:numPr>
          <w:ilvl w:val="0"/>
          <w:numId w:val="5"/>
        </w:numPr>
        <w:rPr>
          <w:rFonts w:ascii="Franklin Gothic Book" w:hAnsi="Franklin Gothic Book" w:cs="Times New Roman"/>
          <w:color w:val="000000" w:themeColor="text1"/>
        </w:rPr>
      </w:pPr>
      <w:r w:rsidRPr="00B277C1">
        <w:rPr>
          <w:rFonts w:ascii="Franklin Gothic Book" w:hAnsi="Franklin Gothic Book" w:cs="Times New Roman"/>
          <w:color w:val="000000" w:themeColor="text1"/>
        </w:rPr>
        <w:t xml:space="preserve">Purdue Promise students participated in the </w:t>
      </w:r>
      <w:hyperlink r:id="rId16" w:history="1">
        <w:r w:rsidRPr="00B277C1">
          <w:rPr>
            <w:rStyle w:val="Hyperlink"/>
            <w:rFonts w:ascii="Franklin Gothic Book" w:hAnsi="Franklin Gothic Book" w:cs="Times New Roman"/>
          </w:rPr>
          <w:t>Basic Needs Program pilot</w:t>
        </w:r>
      </w:hyperlink>
      <w:r w:rsidRPr="00B277C1">
        <w:rPr>
          <w:rFonts w:ascii="Franklin Gothic Book" w:hAnsi="Franklin Gothic Book" w:cs="Times New Roman"/>
          <w:color w:val="000000" w:themeColor="text1"/>
        </w:rPr>
        <w:t xml:space="preserve"> experience. Jay Snedeker served as a consultant in preparation for the program launch in August 2025.</w:t>
      </w:r>
    </w:p>
    <w:p w14:paraId="5ED004EE" w14:textId="55D7185A" w:rsidR="000E36BD" w:rsidRPr="00B277C1" w:rsidRDefault="00FC1C29" w:rsidP="0079481E">
      <w:pPr>
        <w:pStyle w:val="ListParagraph"/>
        <w:numPr>
          <w:ilvl w:val="0"/>
          <w:numId w:val="5"/>
        </w:numPr>
        <w:spacing w:after="0" w:line="240" w:lineRule="auto"/>
        <w:rPr>
          <w:rFonts w:ascii="Franklin Gothic Book" w:eastAsia="Franklin Gothic Book" w:hAnsi="Franklin Gothic Book" w:cs="Franklin Gothic Book"/>
          <w:color w:val="000000" w:themeColor="text1"/>
        </w:rPr>
      </w:pPr>
      <w:r w:rsidRPr="00B277C1">
        <w:rPr>
          <w:rFonts w:ascii="Franklin Gothic Book" w:eastAsia="Franklin Gothic Book" w:hAnsi="Franklin Gothic Book" w:cs="Franklin Gothic Book"/>
          <w:color w:val="000000" w:themeColor="text1"/>
        </w:rPr>
        <w:t>Katelyn Simon was promoted to Assistant Director in September 2025.</w:t>
      </w:r>
    </w:p>
    <w:p w14:paraId="796C1448" w14:textId="4F90B28D" w:rsidR="00F2735F" w:rsidRDefault="00F2735F">
      <w:pPr>
        <w:rPr>
          <w:rFonts w:ascii="Franklin Gothic Book" w:eastAsia="Franklin Gothic Book" w:hAnsi="Franklin Gothic Book" w:cs="Franklin Gothic Book"/>
          <w:color w:val="000000" w:themeColor="text1"/>
          <w:sz w:val="23"/>
          <w:szCs w:val="23"/>
        </w:rPr>
      </w:pPr>
      <w:r>
        <w:rPr>
          <w:rFonts w:ascii="Franklin Gothic Book" w:eastAsia="Franklin Gothic Book" w:hAnsi="Franklin Gothic Book" w:cs="Franklin Gothic Book"/>
          <w:color w:val="000000" w:themeColor="text1"/>
          <w:sz w:val="23"/>
          <w:szCs w:val="23"/>
        </w:rPr>
        <w:br w:type="page"/>
      </w:r>
    </w:p>
    <w:p w14:paraId="4A5AE3DC" w14:textId="1E2D2502" w:rsidR="0079481E" w:rsidRPr="00B277C1" w:rsidRDefault="008B6C52" w:rsidP="0079481E">
      <w:pPr>
        <w:pStyle w:val="Heading1"/>
        <w:spacing w:before="0" w:line="240" w:lineRule="auto"/>
        <w:rPr>
          <w:rFonts w:ascii="Franklin Gothic Book" w:eastAsia="Franklin Gothic Demi" w:hAnsi="Franklin Gothic Book" w:cs="Franklin Gothic Demi"/>
          <w:bCs/>
          <w:szCs w:val="26"/>
        </w:rPr>
      </w:pPr>
      <w:r w:rsidRPr="00B277C1">
        <w:rPr>
          <w:rFonts w:ascii="Franklin Gothic Book" w:eastAsia="Franklin Gothic Demi" w:hAnsi="Franklin Gothic Book" w:cs="Franklin Gothic Demi"/>
          <w:bCs/>
          <w:szCs w:val="26"/>
        </w:rPr>
        <w:lastRenderedPageBreak/>
        <w:t>OUR DATA</w:t>
      </w:r>
    </w:p>
    <w:p w14:paraId="5EF06F54" w14:textId="6628E80B" w:rsidR="008B6C52" w:rsidRPr="00B277C1" w:rsidRDefault="008B6C52" w:rsidP="2B5176B0">
      <w:pPr>
        <w:pStyle w:val="Heading2"/>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202</w:t>
      </w:r>
      <w:r w:rsidR="00023337" w:rsidRPr="00B277C1">
        <w:rPr>
          <w:rFonts w:ascii="Franklin Gothic Book" w:eastAsia="Franklin Gothic Book" w:hAnsi="Franklin Gothic Book" w:cs="Franklin Gothic Book"/>
        </w:rPr>
        <w:t>4</w:t>
      </w:r>
      <w:r w:rsidRPr="00B277C1">
        <w:rPr>
          <w:rFonts w:ascii="Franklin Gothic Book" w:eastAsia="Franklin Gothic Book" w:hAnsi="Franklin Gothic Book" w:cs="Franklin Gothic Book"/>
        </w:rPr>
        <w:t>-2</w:t>
      </w:r>
      <w:r w:rsidR="00023337" w:rsidRPr="00B277C1">
        <w:rPr>
          <w:rFonts w:ascii="Franklin Gothic Book" w:eastAsia="Franklin Gothic Book" w:hAnsi="Franklin Gothic Book" w:cs="Franklin Gothic Book"/>
        </w:rPr>
        <w:t>5</w:t>
      </w:r>
      <w:r w:rsidRPr="00B277C1">
        <w:rPr>
          <w:rFonts w:ascii="Franklin Gothic Book" w:eastAsia="Franklin Gothic Book" w:hAnsi="Franklin Gothic Book" w:cs="Franklin Gothic Book"/>
        </w:rPr>
        <w:t xml:space="preserve"> Purdue Promise Data</w:t>
      </w:r>
    </w:p>
    <w:p w14:paraId="43E31986" w14:textId="77777777" w:rsidR="0079481E" w:rsidRPr="00B277C1" w:rsidRDefault="0079481E" w:rsidP="0079481E">
      <w:pPr>
        <w:rPr>
          <w:rFonts w:ascii="Franklin Gothic Book" w:hAnsi="Franklin Gothic Book"/>
        </w:rPr>
      </w:pPr>
      <w:r w:rsidRPr="00B277C1">
        <w:rPr>
          <w:rFonts w:ascii="Franklin Gothic Book" w:hAnsi="Franklin Gothic Book"/>
        </w:rPr>
        <w:t>To understand the populations represented in the following retention and graduation chart, please review the following definitions.</w:t>
      </w:r>
    </w:p>
    <w:p w14:paraId="7A571101" w14:textId="49F20EA7" w:rsidR="0079481E" w:rsidRPr="00B277C1" w:rsidRDefault="0079481E" w:rsidP="0079481E">
      <w:pPr>
        <w:pStyle w:val="ListParagraph"/>
        <w:numPr>
          <w:ilvl w:val="0"/>
          <w:numId w:val="39"/>
        </w:numPr>
        <w:spacing w:after="0"/>
        <w:rPr>
          <w:rFonts w:ascii="Franklin Gothic Book" w:hAnsi="Franklin Gothic Book"/>
        </w:rPr>
      </w:pPr>
      <w:r w:rsidRPr="00B277C1">
        <w:rPr>
          <w:rFonts w:ascii="Franklin Gothic Book" w:hAnsi="Franklin Gothic Book"/>
          <w:b/>
        </w:rPr>
        <w:t>All Purdue Promise:</w:t>
      </w:r>
      <w:r w:rsidRPr="00B277C1">
        <w:rPr>
          <w:rFonts w:ascii="Franklin Gothic Book" w:hAnsi="Franklin Gothic Book"/>
        </w:rPr>
        <w:t xml:space="preserve"> Purdue Promise program participants – All students are Indiana 21st Century Scholars. Starting with the 2012 cohort to the 2024 cohort, the total family income requirement has been $50,000 or less. *Starting with the 2025 cohort, all 21</w:t>
      </w:r>
      <w:r w:rsidRPr="00B277C1">
        <w:rPr>
          <w:rFonts w:ascii="Franklin Gothic Book" w:hAnsi="Franklin Gothic Book"/>
          <w:vertAlign w:val="superscript"/>
        </w:rPr>
        <w:t>st</w:t>
      </w:r>
      <w:r w:rsidRPr="00B277C1">
        <w:rPr>
          <w:rFonts w:ascii="Franklin Gothic Book" w:hAnsi="Franklin Gothic Book"/>
        </w:rPr>
        <w:t xml:space="preserve"> Century Scholars will be funded as Purdue Promise.</w:t>
      </w:r>
    </w:p>
    <w:p w14:paraId="79343FB5" w14:textId="77777777" w:rsidR="0079481E" w:rsidRPr="00B277C1" w:rsidRDefault="0079481E" w:rsidP="0079481E">
      <w:pPr>
        <w:pStyle w:val="ListParagraph"/>
        <w:numPr>
          <w:ilvl w:val="0"/>
          <w:numId w:val="39"/>
        </w:numPr>
        <w:spacing w:after="0"/>
        <w:rPr>
          <w:rFonts w:ascii="Franklin Gothic Book" w:hAnsi="Franklin Gothic Book"/>
        </w:rPr>
      </w:pPr>
      <w:r w:rsidRPr="00B277C1">
        <w:rPr>
          <w:rFonts w:ascii="Franklin Gothic Book" w:hAnsi="Franklin Gothic Book"/>
          <w:b/>
        </w:rPr>
        <w:t>TfCS only:</w:t>
      </w:r>
      <w:r w:rsidRPr="00B277C1">
        <w:rPr>
          <w:rFonts w:ascii="Franklin Gothic Book" w:hAnsi="Franklin Gothic Book"/>
        </w:rPr>
        <w:t xml:space="preserve"> First-time, full-time 21st Century Scholars enrolling in a fall semester and not served by Purdue Promise.</w:t>
      </w:r>
    </w:p>
    <w:p w14:paraId="647CF5C4" w14:textId="7702E6EA" w:rsidR="0079481E" w:rsidRPr="00B277C1" w:rsidRDefault="0079481E" w:rsidP="0079481E">
      <w:pPr>
        <w:pStyle w:val="ListParagraph"/>
        <w:numPr>
          <w:ilvl w:val="0"/>
          <w:numId w:val="39"/>
        </w:numPr>
        <w:spacing w:after="0"/>
        <w:rPr>
          <w:rFonts w:ascii="Franklin Gothic Book" w:hAnsi="Franklin Gothic Book"/>
        </w:rPr>
      </w:pPr>
      <w:r w:rsidRPr="00B277C1">
        <w:rPr>
          <w:rFonts w:ascii="Franklin Gothic Book" w:hAnsi="Franklin Gothic Book"/>
          <w:b/>
        </w:rPr>
        <w:t>Pell Recipient only:</w:t>
      </w:r>
      <w:r w:rsidRPr="00B277C1">
        <w:rPr>
          <w:rFonts w:ascii="Franklin Gothic Book" w:hAnsi="Franklin Gothic Book"/>
        </w:rPr>
        <w:t xml:space="preserve"> First-time, full-time Pell </w:t>
      </w:r>
      <w:r w:rsidR="00586A37" w:rsidRPr="00B277C1">
        <w:rPr>
          <w:rFonts w:ascii="Franklin Gothic Book" w:hAnsi="Franklin Gothic Book"/>
        </w:rPr>
        <w:t xml:space="preserve">Recipient </w:t>
      </w:r>
      <w:r w:rsidRPr="00B277C1">
        <w:rPr>
          <w:rFonts w:ascii="Franklin Gothic Book" w:hAnsi="Franklin Gothic Book"/>
        </w:rPr>
        <w:t>students enrolling in a fall semester and not served by Purdue Promise nor 21st Century Scholars.</w:t>
      </w:r>
      <w:r w:rsidR="008F2F60" w:rsidRPr="00B277C1">
        <w:rPr>
          <w:rFonts w:ascii="Franklin Gothic Book" w:hAnsi="Franklin Gothic Book"/>
        </w:rPr>
        <w:t xml:space="preserve"> In 2024 we began tracking Pell Recipient rather than Eligibility. </w:t>
      </w:r>
    </w:p>
    <w:p w14:paraId="28ED5984" w14:textId="77777777" w:rsidR="0079481E" w:rsidRPr="00B277C1" w:rsidRDefault="0079481E" w:rsidP="0079481E">
      <w:pPr>
        <w:pStyle w:val="ListParagraph"/>
        <w:numPr>
          <w:ilvl w:val="0"/>
          <w:numId w:val="39"/>
        </w:numPr>
        <w:spacing w:after="0"/>
        <w:rPr>
          <w:rFonts w:ascii="Franklin Gothic Book" w:hAnsi="Franklin Gothic Book"/>
        </w:rPr>
      </w:pPr>
      <w:r w:rsidRPr="00B277C1">
        <w:rPr>
          <w:rFonts w:ascii="Franklin Gothic Book" w:hAnsi="Franklin Gothic Book"/>
          <w:b/>
        </w:rPr>
        <w:t>Indiana Residents:</w:t>
      </w:r>
      <w:r w:rsidRPr="00B277C1">
        <w:rPr>
          <w:rFonts w:ascii="Franklin Gothic Book" w:hAnsi="Franklin Gothic Book"/>
        </w:rPr>
        <w:t xml:space="preserve"> All first-time, full-time Indiana residents enroll in a fall semester.</w:t>
      </w:r>
    </w:p>
    <w:p w14:paraId="34300952" w14:textId="449F706C" w:rsidR="00FA10C5" w:rsidRPr="00B277C1" w:rsidRDefault="0079481E" w:rsidP="00FA10C5">
      <w:pPr>
        <w:pStyle w:val="ListParagraph"/>
        <w:numPr>
          <w:ilvl w:val="0"/>
          <w:numId w:val="39"/>
        </w:numPr>
        <w:spacing w:after="0"/>
        <w:rPr>
          <w:rFonts w:ascii="Franklin Gothic Book" w:hAnsi="Franklin Gothic Book"/>
        </w:rPr>
      </w:pPr>
      <w:r w:rsidRPr="00B277C1">
        <w:rPr>
          <w:rFonts w:ascii="Franklin Gothic Book" w:hAnsi="Franklin Gothic Book"/>
          <w:b/>
        </w:rPr>
        <w:t>University Rate:</w:t>
      </w:r>
      <w:r w:rsidRPr="00B277C1">
        <w:rPr>
          <w:rFonts w:ascii="Franklin Gothic Book" w:hAnsi="Franklin Gothic Book"/>
        </w:rPr>
        <w:t xml:space="preserve"> All first-time, full-time students enrolling in fall semester.</w:t>
      </w:r>
    </w:p>
    <w:p w14:paraId="0A6D760F" w14:textId="2456DD37" w:rsidR="00FA10C5" w:rsidRPr="00B277C1" w:rsidRDefault="0079481E" w:rsidP="0079481E">
      <w:pPr>
        <w:rPr>
          <w:rFonts w:ascii="Franklin Gothic Book" w:hAnsi="Franklin Gothic Book"/>
        </w:rPr>
      </w:pPr>
      <w:r w:rsidRPr="00B277C1">
        <w:rPr>
          <w:rFonts w:ascii="Franklin Gothic Book" w:hAnsi="Franklin Gothic Book"/>
        </w:rPr>
        <w:t>The retention and graduation chart shows one-year, two-year, and three-year retention rates, along with four-year, five-year, and six-year graduation rates since 2017.</w:t>
      </w:r>
    </w:p>
    <w:p w14:paraId="3EA2AE3D" w14:textId="182A5D37" w:rsidR="00FD60EE" w:rsidRPr="00B277C1" w:rsidRDefault="00FD60EE" w:rsidP="2B5176B0">
      <w:pPr>
        <w:pStyle w:val="Heading3"/>
        <w:rPr>
          <w:rFonts w:ascii="Franklin Gothic Book" w:eastAsia="Franklin Gothic Book" w:hAnsi="Franklin Gothic Book" w:cs="Franklin Gothic Book"/>
          <w:i/>
          <w:iCs/>
          <w:color w:val="555960"/>
          <w:sz w:val="22"/>
          <w:szCs w:val="22"/>
        </w:rPr>
      </w:pPr>
      <w:r w:rsidRPr="00B277C1">
        <w:rPr>
          <w:rFonts w:ascii="Franklin Gothic Book" w:eastAsia="Franklin Gothic Book" w:hAnsi="Franklin Gothic Book" w:cs="Franklin Gothic Book"/>
          <w:i/>
          <w:iCs/>
          <w:color w:val="555960"/>
          <w:sz w:val="22"/>
          <w:szCs w:val="22"/>
        </w:rPr>
        <w:t>Retention &amp; Graduation Rates (Purdue Promise without Emerging Urban Leaders)</w:t>
      </w:r>
    </w:p>
    <w:tbl>
      <w:tblPr>
        <w:tblW w:w="100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8"/>
        <w:gridCol w:w="2089"/>
        <w:gridCol w:w="972"/>
        <w:gridCol w:w="1019"/>
        <w:gridCol w:w="948"/>
        <w:gridCol w:w="991"/>
        <w:gridCol w:w="53"/>
        <w:gridCol w:w="979"/>
        <w:gridCol w:w="106"/>
        <w:gridCol w:w="1002"/>
        <w:gridCol w:w="136"/>
        <w:gridCol w:w="926"/>
      </w:tblGrid>
      <w:tr w:rsidR="00AF0870" w:rsidRPr="00694B06" w14:paraId="47F1C8A9" w14:textId="77777777" w:rsidTr="00424BBB">
        <w:trPr>
          <w:trHeight w:val="15"/>
        </w:trPr>
        <w:tc>
          <w:tcPr>
            <w:tcW w:w="848" w:type="dxa"/>
            <w:shd w:val="clear" w:color="000000" w:fill="000000"/>
            <w:vAlign w:val="center"/>
            <w:hideMark/>
          </w:tcPr>
          <w:p w14:paraId="23563844" w14:textId="77777777" w:rsidR="00AF0870" w:rsidRPr="00694B06" w:rsidRDefault="00AF0870" w:rsidP="00D65653">
            <w:pPr>
              <w:pStyle w:val="DataTable"/>
              <w:rPr>
                <w:i/>
                <w:iCs/>
                <w:sz w:val="23"/>
                <w:szCs w:val="23"/>
              </w:rPr>
            </w:pPr>
            <w:r w:rsidRPr="00694B06">
              <w:rPr>
                <w:sz w:val="23"/>
                <w:szCs w:val="23"/>
              </w:rPr>
              <w:t>Cohort Year</w:t>
            </w:r>
          </w:p>
        </w:tc>
        <w:tc>
          <w:tcPr>
            <w:tcW w:w="2089" w:type="dxa"/>
            <w:shd w:val="clear" w:color="000000" w:fill="000000"/>
            <w:vAlign w:val="center"/>
            <w:hideMark/>
          </w:tcPr>
          <w:p w14:paraId="3DB94565" w14:textId="77777777" w:rsidR="00AF0870" w:rsidRPr="00694B06" w:rsidRDefault="00AF0870" w:rsidP="00D65653">
            <w:pPr>
              <w:pStyle w:val="DataTable"/>
              <w:rPr>
                <w:i/>
                <w:iCs/>
                <w:sz w:val="23"/>
                <w:szCs w:val="23"/>
              </w:rPr>
            </w:pPr>
            <w:r w:rsidRPr="00694B06">
              <w:rPr>
                <w:sz w:val="23"/>
                <w:szCs w:val="23"/>
              </w:rPr>
              <w:t>Cohort</w:t>
            </w:r>
          </w:p>
        </w:tc>
        <w:tc>
          <w:tcPr>
            <w:tcW w:w="972" w:type="dxa"/>
            <w:shd w:val="clear" w:color="000000" w:fill="000000"/>
            <w:vAlign w:val="center"/>
            <w:hideMark/>
          </w:tcPr>
          <w:p w14:paraId="07A8127B" w14:textId="77777777" w:rsidR="00AF0870" w:rsidRPr="00694B06" w:rsidRDefault="00AF0870" w:rsidP="00D65653">
            <w:pPr>
              <w:pStyle w:val="DataTable"/>
              <w:rPr>
                <w:i/>
                <w:iCs/>
                <w:sz w:val="23"/>
                <w:szCs w:val="23"/>
              </w:rPr>
            </w:pPr>
            <w:r w:rsidRPr="00694B06">
              <w:rPr>
                <w:sz w:val="23"/>
                <w:szCs w:val="23"/>
              </w:rPr>
              <w:t>Original Cohort</w:t>
            </w:r>
          </w:p>
        </w:tc>
        <w:tc>
          <w:tcPr>
            <w:tcW w:w="1019" w:type="dxa"/>
            <w:shd w:val="clear" w:color="000000" w:fill="000000"/>
            <w:vAlign w:val="center"/>
            <w:hideMark/>
          </w:tcPr>
          <w:p w14:paraId="55D9A38B" w14:textId="77777777" w:rsidR="00AF0870" w:rsidRPr="00694B06" w:rsidRDefault="00AF0870" w:rsidP="00D65653">
            <w:pPr>
              <w:pStyle w:val="DataTable"/>
              <w:rPr>
                <w:i/>
                <w:iCs/>
                <w:sz w:val="23"/>
                <w:szCs w:val="23"/>
              </w:rPr>
            </w:pPr>
            <w:r w:rsidRPr="00694B06">
              <w:rPr>
                <w:sz w:val="23"/>
                <w:szCs w:val="23"/>
              </w:rPr>
              <w:t xml:space="preserve">1Yr </w:t>
            </w:r>
          </w:p>
          <w:p w14:paraId="1963E171" w14:textId="77777777" w:rsidR="00AF0870" w:rsidRPr="00694B06" w:rsidRDefault="00AF0870" w:rsidP="00D65653">
            <w:pPr>
              <w:pStyle w:val="DataTable"/>
              <w:rPr>
                <w:i/>
                <w:iCs/>
                <w:color w:val="FFFFFF"/>
                <w:sz w:val="23"/>
                <w:szCs w:val="23"/>
              </w:rPr>
            </w:pPr>
            <w:r w:rsidRPr="00694B06">
              <w:rPr>
                <w:sz w:val="23"/>
                <w:szCs w:val="23"/>
              </w:rPr>
              <w:t>Ret.</w:t>
            </w:r>
          </w:p>
        </w:tc>
        <w:tc>
          <w:tcPr>
            <w:tcW w:w="948" w:type="dxa"/>
            <w:shd w:val="clear" w:color="000000" w:fill="000000"/>
            <w:vAlign w:val="center"/>
            <w:hideMark/>
          </w:tcPr>
          <w:p w14:paraId="27CC6CA4" w14:textId="77777777" w:rsidR="00AF0870" w:rsidRPr="00694B06" w:rsidRDefault="00AF0870" w:rsidP="00D65653">
            <w:pPr>
              <w:pStyle w:val="DataTable"/>
              <w:rPr>
                <w:i/>
                <w:iCs/>
                <w:sz w:val="23"/>
                <w:szCs w:val="23"/>
              </w:rPr>
            </w:pPr>
            <w:r w:rsidRPr="00694B06">
              <w:rPr>
                <w:sz w:val="23"/>
                <w:szCs w:val="23"/>
              </w:rPr>
              <w:t xml:space="preserve">2Yr </w:t>
            </w:r>
          </w:p>
          <w:p w14:paraId="68709915" w14:textId="77777777" w:rsidR="00AF0870" w:rsidRPr="00694B06" w:rsidRDefault="00AF0870" w:rsidP="00D65653">
            <w:pPr>
              <w:pStyle w:val="DataTable"/>
              <w:rPr>
                <w:i/>
                <w:iCs/>
                <w:color w:val="FFFFFF"/>
                <w:sz w:val="23"/>
                <w:szCs w:val="23"/>
              </w:rPr>
            </w:pPr>
            <w:r w:rsidRPr="00694B06">
              <w:rPr>
                <w:sz w:val="23"/>
                <w:szCs w:val="23"/>
              </w:rPr>
              <w:t>Ret.</w:t>
            </w:r>
          </w:p>
        </w:tc>
        <w:tc>
          <w:tcPr>
            <w:tcW w:w="991" w:type="dxa"/>
            <w:shd w:val="clear" w:color="000000" w:fill="000000"/>
            <w:vAlign w:val="center"/>
            <w:hideMark/>
          </w:tcPr>
          <w:p w14:paraId="42AD9BBC" w14:textId="77777777" w:rsidR="00AF0870" w:rsidRPr="00694B06" w:rsidRDefault="00AF0870" w:rsidP="00D65653">
            <w:pPr>
              <w:pStyle w:val="DataTable"/>
              <w:rPr>
                <w:i/>
                <w:iCs/>
                <w:sz w:val="23"/>
                <w:szCs w:val="23"/>
              </w:rPr>
            </w:pPr>
            <w:r w:rsidRPr="00694B06">
              <w:rPr>
                <w:sz w:val="23"/>
                <w:szCs w:val="23"/>
              </w:rPr>
              <w:t xml:space="preserve">3Yr </w:t>
            </w:r>
          </w:p>
          <w:p w14:paraId="193C64B9" w14:textId="77777777" w:rsidR="00AF0870" w:rsidRPr="00694B06" w:rsidRDefault="00AF0870" w:rsidP="00D65653">
            <w:pPr>
              <w:pStyle w:val="DataTable"/>
              <w:rPr>
                <w:i/>
                <w:iCs/>
                <w:color w:val="FFFFFF"/>
                <w:sz w:val="23"/>
                <w:szCs w:val="23"/>
              </w:rPr>
            </w:pPr>
            <w:r w:rsidRPr="00694B06">
              <w:rPr>
                <w:sz w:val="23"/>
                <w:szCs w:val="23"/>
              </w:rPr>
              <w:t>Ret.</w:t>
            </w:r>
          </w:p>
        </w:tc>
        <w:tc>
          <w:tcPr>
            <w:tcW w:w="1138" w:type="dxa"/>
            <w:gridSpan w:val="3"/>
            <w:shd w:val="clear" w:color="000000" w:fill="000000"/>
            <w:vAlign w:val="center"/>
            <w:hideMark/>
          </w:tcPr>
          <w:p w14:paraId="3CF0D67D" w14:textId="77777777" w:rsidR="00AF0870" w:rsidRPr="00694B06" w:rsidRDefault="00AF0870" w:rsidP="00D65653">
            <w:pPr>
              <w:pStyle w:val="DataTable"/>
              <w:rPr>
                <w:i/>
                <w:iCs/>
                <w:sz w:val="23"/>
                <w:szCs w:val="23"/>
              </w:rPr>
            </w:pPr>
            <w:r w:rsidRPr="00694B06">
              <w:rPr>
                <w:sz w:val="23"/>
                <w:szCs w:val="23"/>
              </w:rPr>
              <w:t xml:space="preserve">4Yr </w:t>
            </w:r>
          </w:p>
          <w:p w14:paraId="7E61459C" w14:textId="77777777" w:rsidR="00AF0870" w:rsidRPr="00694B06" w:rsidRDefault="00AF0870" w:rsidP="00D65653">
            <w:pPr>
              <w:pStyle w:val="DataTable"/>
              <w:rPr>
                <w:i/>
                <w:iCs/>
                <w:color w:val="FFFFFF"/>
                <w:sz w:val="23"/>
                <w:szCs w:val="23"/>
              </w:rPr>
            </w:pPr>
            <w:r w:rsidRPr="00694B06">
              <w:rPr>
                <w:sz w:val="23"/>
                <w:szCs w:val="23"/>
              </w:rPr>
              <w:t>Grad.</w:t>
            </w:r>
          </w:p>
        </w:tc>
        <w:tc>
          <w:tcPr>
            <w:tcW w:w="1138" w:type="dxa"/>
            <w:gridSpan w:val="2"/>
            <w:shd w:val="clear" w:color="000000" w:fill="000000"/>
            <w:vAlign w:val="center"/>
            <w:hideMark/>
          </w:tcPr>
          <w:p w14:paraId="74B86775" w14:textId="77777777" w:rsidR="00AF0870" w:rsidRPr="00694B06" w:rsidRDefault="00AF0870" w:rsidP="00D65653">
            <w:pPr>
              <w:pStyle w:val="DataTable"/>
              <w:rPr>
                <w:i/>
                <w:iCs/>
                <w:sz w:val="23"/>
                <w:szCs w:val="23"/>
              </w:rPr>
            </w:pPr>
            <w:r w:rsidRPr="00694B06">
              <w:rPr>
                <w:sz w:val="23"/>
                <w:szCs w:val="23"/>
              </w:rPr>
              <w:t xml:space="preserve">5Yr </w:t>
            </w:r>
          </w:p>
          <w:p w14:paraId="6165E205" w14:textId="77777777" w:rsidR="00AF0870" w:rsidRPr="00694B06" w:rsidRDefault="00AF0870" w:rsidP="00D65653">
            <w:pPr>
              <w:pStyle w:val="DataTable"/>
              <w:rPr>
                <w:i/>
                <w:iCs/>
                <w:color w:val="FFFFFF"/>
                <w:sz w:val="23"/>
                <w:szCs w:val="23"/>
              </w:rPr>
            </w:pPr>
            <w:r w:rsidRPr="00694B06">
              <w:rPr>
                <w:sz w:val="23"/>
                <w:szCs w:val="23"/>
              </w:rPr>
              <w:t>Grad.</w:t>
            </w:r>
          </w:p>
        </w:tc>
        <w:tc>
          <w:tcPr>
            <w:tcW w:w="925" w:type="dxa"/>
            <w:shd w:val="clear" w:color="000000" w:fill="000000"/>
            <w:vAlign w:val="center"/>
            <w:hideMark/>
          </w:tcPr>
          <w:p w14:paraId="1C9CD706" w14:textId="77777777" w:rsidR="00AF0870" w:rsidRPr="00694B06" w:rsidRDefault="00AF0870" w:rsidP="00D65653">
            <w:pPr>
              <w:pStyle w:val="DataTable"/>
              <w:rPr>
                <w:i/>
                <w:iCs/>
                <w:color w:val="FFFFFF"/>
                <w:sz w:val="23"/>
                <w:szCs w:val="23"/>
              </w:rPr>
            </w:pPr>
            <w:r w:rsidRPr="00694B06">
              <w:rPr>
                <w:sz w:val="23"/>
                <w:szCs w:val="23"/>
              </w:rPr>
              <w:t>6Yr Grad.</w:t>
            </w:r>
          </w:p>
        </w:tc>
      </w:tr>
      <w:tr w:rsidR="00AF0870" w:rsidRPr="00694B06" w14:paraId="0B8FB063" w14:textId="77777777" w:rsidTr="00424BBB">
        <w:trPr>
          <w:trHeight w:val="15"/>
        </w:trPr>
        <w:tc>
          <w:tcPr>
            <w:tcW w:w="848" w:type="dxa"/>
            <w:vMerge w:val="restart"/>
            <w:shd w:val="clear" w:color="000000" w:fill="D9D9D9"/>
            <w:noWrap/>
            <w:vAlign w:val="center"/>
            <w:hideMark/>
          </w:tcPr>
          <w:p w14:paraId="21ABE02D" w14:textId="77777777" w:rsidR="00AF0870" w:rsidRPr="00694B06" w:rsidRDefault="00AF0870" w:rsidP="00D65653">
            <w:pPr>
              <w:pStyle w:val="DataTable"/>
              <w:rPr>
                <w:i/>
                <w:iCs/>
                <w:sz w:val="23"/>
                <w:szCs w:val="23"/>
              </w:rPr>
            </w:pPr>
            <w:r w:rsidRPr="00694B06">
              <w:rPr>
                <w:sz w:val="23"/>
                <w:szCs w:val="23"/>
              </w:rPr>
              <w:t>2017</w:t>
            </w:r>
          </w:p>
        </w:tc>
        <w:tc>
          <w:tcPr>
            <w:tcW w:w="2089" w:type="dxa"/>
            <w:shd w:val="clear" w:color="000000" w:fill="D9D9D9"/>
            <w:noWrap/>
            <w:vAlign w:val="bottom"/>
            <w:hideMark/>
          </w:tcPr>
          <w:p w14:paraId="59C3DD96"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shd w:val="clear" w:color="auto" w:fill="D9D9D9" w:themeFill="background1" w:themeFillShade="D9"/>
            <w:noWrap/>
            <w:vAlign w:val="bottom"/>
            <w:hideMark/>
          </w:tcPr>
          <w:p w14:paraId="4A18A905" w14:textId="77777777" w:rsidR="00AF0870" w:rsidRPr="00694B06" w:rsidRDefault="00AF0870" w:rsidP="00AC0778">
            <w:pPr>
              <w:pStyle w:val="DataTable"/>
              <w:jc w:val="center"/>
              <w:rPr>
                <w:i/>
                <w:iCs/>
                <w:sz w:val="23"/>
                <w:szCs w:val="23"/>
              </w:rPr>
            </w:pPr>
            <w:r w:rsidRPr="00694B06">
              <w:rPr>
                <w:sz w:val="23"/>
                <w:szCs w:val="23"/>
              </w:rPr>
              <w:t>356</w:t>
            </w:r>
          </w:p>
        </w:tc>
        <w:tc>
          <w:tcPr>
            <w:tcW w:w="1019" w:type="dxa"/>
            <w:shd w:val="clear" w:color="auto" w:fill="FFF2CC" w:themeFill="accent4" w:themeFillTint="33"/>
            <w:noWrap/>
            <w:vAlign w:val="center"/>
            <w:hideMark/>
          </w:tcPr>
          <w:p w14:paraId="2F190361" w14:textId="77777777" w:rsidR="00AF0870" w:rsidRPr="00694B06" w:rsidRDefault="00AF0870" w:rsidP="00AC0778">
            <w:pPr>
              <w:pStyle w:val="DataTable"/>
              <w:jc w:val="center"/>
              <w:rPr>
                <w:i/>
                <w:iCs/>
                <w:sz w:val="23"/>
                <w:szCs w:val="23"/>
              </w:rPr>
            </w:pPr>
            <w:r w:rsidRPr="00694B06">
              <w:rPr>
                <w:sz w:val="23"/>
                <w:szCs w:val="23"/>
              </w:rPr>
              <w:t>86.5%</w:t>
            </w:r>
          </w:p>
        </w:tc>
        <w:tc>
          <w:tcPr>
            <w:tcW w:w="948" w:type="dxa"/>
            <w:shd w:val="clear" w:color="auto" w:fill="FFF2CC" w:themeFill="accent4" w:themeFillTint="33"/>
            <w:noWrap/>
            <w:vAlign w:val="center"/>
            <w:hideMark/>
          </w:tcPr>
          <w:p w14:paraId="6DA35C8E" w14:textId="77777777" w:rsidR="00AF0870" w:rsidRPr="00694B06" w:rsidRDefault="00AF0870" w:rsidP="00AC0778">
            <w:pPr>
              <w:pStyle w:val="DataTable"/>
              <w:jc w:val="center"/>
              <w:rPr>
                <w:i/>
                <w:iCs/>
                <w:sz w:val="23"/>
                <w:szCs w:val="23"/>
              </w:rPr>
            </w:pPr>
            <w:r w:rsidRPr="00694B06">
              <w:rPr>
                <w:sz w:val="23"/>
                <w:szCs w:val="23"/>
              </w:rPr>
              <w:t>79.2%</w:t>
            </w:r>
          </w:p>
        </w:tc>
        <w:tc>
          <w:tcPr>
            <w:tcW w:w="1044" w:type="dxa"/>
            <w:gridSpan w:val="2"/>
            <w:shd w:val="clear" w:color="auto" w:fill="FFF2CC" w:themeFill="accent4" w:themeFillTint="33"/>
            <w:noWrap/>
            <w:vAlign w:val="center"/>
            <w:hideMark/>
          </w:tcPr>
          <w:p w14:paraId="2F2295E5" w14:textId="77777777" w:rsidR="00AF0870" w:rsidRPr="00694B06" w:rsidRDefault="00AF0870" w:rsidP="00AC0778">
            <w:pPr>
              <w:pStyle w:val="DataTable"/>
              <w:jc w:val="center"/>
              <w:rPr>
                <w:i/>
                <w:iCs/>
                <w:sz w:val="23"/>
                <w:szCs w:val="23"/>
              </w:rPr>
            </w:pPr>
            <w:r w:rsidRPr="00694B06">
              <w:rPr>
                <w:sz w:val="23"/>
                <w:szCs w:val="23"/>
              </w:rPr>
              <w:t>72.8%</w:t>
            </w:r>
          </w:p>
        </w:tc>
        <w:tc>
          <w:tcPr>
            <w:tcW w:w="979" w:type="dxa"/>
            <w:shd w:val="clear" w:color="auto" w:fill="FFF2CC" w:themeFill="accent4" w:themeFillTint="33"/>
            <w:noWrap/>
            <w:vAlign w:val="center"/>
            <w:hideMark/>
          </w:tcPr>
          <w:p w14:paraId="5CDD31A7" w14:textId="77777777" w:rsidR="00AF0870" w:rsidRPr="00694B06" w:rsidRDefault="00AF0870" w:rsidP="00AC0778">
            <w:pPr>
              <w:pStyle w:val="DataTable"/>
              <w:jc w:val="center"/>
              <w:rPr>
                <w:i/>
                <w:iCs/>
                <w:sz w:val="23"/>
                <w:szCs w:val="23"/>
              </w:rPr>
            </w:pPr>
            <w:r w:rsidRPr="00694B06">
              <w:rPr>
                <w:sz w:val="23"/>
                <w:szCs w:val="23"/>
              </w:rPr>
              <w:t>59.0%</w:t>
            </w:r>
          </w:p>
        </w:tc>
        <w:tc>
          <w:tcPr>
            <w:tcW w:w="1108" w:type="dxa"/>
            <w:gridSpan w:val="2"/>
            <w:shd w:val="clear" w:color="auto" w:fill="D9D9D9" w:themeFill="background1" w:themeFillShade="D9"/>
            <w:noWrap/>
            <w:vAlign w:val="center"/>
            <w:hideMark/>
          </w:tcPr>
          <w:p w14:paraId="2CC6CE1A" w14:textId="77777777" w:rsidR="00AF0870" w:rsidRPr="00694B06" w:rsidRDefault="00AF0870" w:rsidP="00AC0778">
            <w:pPr>
              <w:pStyle w:val="DataTable"/>
              <w:jc w:val="center"/>
              <w:rPr>
                <w:i/>
                <w:iCs/>
                <w:sz w:val="23"/>
                <w:szCs w:val="23"/>
              </w:rPr>
            </w:pPr>
            <w:r w:rsidRPr="00694B06">
              <w:rPr>
                <w:sz w:val="23"/>
                <w:szCs w:val="23"/>
              </w:rPr>
              <w:t>69.1%</w:t>
            </w:r>
          </w:p>
        </w:tc>
        <w:tc>
          <w:tcPr>
            <w:tcW w:w="1062" w:type="dxa"/>
            <w:gridSpan w:val="2"/>
            <w:shd w:val="clear" w:color="auto" w:fill="D9D9D9" w:themeFill="background1" w:themeFillShade="D9"/>
            <w:noWrap/>
            <w:vAlign w:val="center"/>
            <w:hideMark/>
          </w:tcPr>
          <w:p w14:paraId="61DD8DA4" w14:textId="77777777" w:rsidR="00AF0870" w:rsidRPr="00694B06" w:rsidRDefault="00AF0870" w:rsidP="00AC0778">
            <w:pPr>
              <w:pStyle w:val="DataTable"/>
              <w:jc w:val="center"/>
              <w:rPr>
                <w:i/>
                <w:iCs/>
                <w:sz w:val="23"/>
                <w:szCs w:val="23"/>
              </w:rPr>
            </w:pPr>
            <w:r w:rsidRPr="00694B06">
              <w:rPr>
                <w:sz w:val="23"/>
                <w:szCs w:val="23"/>
              </w:rPr>
              <w:t>70.2%</w:t>
            </w:r>
          </w:p>
        </w:tc>
      </w:tr>
      <w:tr w:rsidR="00AF0870" w:rsidRPr="00694B06" w14:paraId="75A9E804" w14:textId="77777777" w:rsidTr="00424BBB">
        <w:trPr>
          <w:trHeight w:val="15"/>
        </w:trPr>
        <w:tc>
          <w:tcPr>
            <w:tcW w:w="848" w:type="dxa"/>
            <w:vMerge/>
            <w:vAlign w:val="center"/>
            <w:hideMark/>
          </w:tcPr>
          <w:p w14:paraId="226E7758"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02E53959" w14:textId="77777777" w:rsidR="00AF0870" w:rsidRPr="00694B06" w:rsidRDefault="00AF0870" w:rsidP="00D65653">
            <w:pPr>
              <w:pStyle w:val="DataTable"/>
              <w:rPr>
                <w:i/>
                <w:iCs/>
                <w:sz w:val="23"/>
                <w:szCs w:val="23"/>
              </w:rPr>
            </w:pPr>
            <w:r w:rsidRPr="00694B06">
              <w:rPr>
                <w:sz w:val="23"/>
                <w:szCs w:val="23"/>
              </w:rPr>
              <w:t>TfCS only</w:t>
            </w:r>
          </w:p>
        </w:tc>
        <w:tc>
          <w:tcPr>
            <w:tcW w:w="972" w:type="dxa"/>
            <w:shd w:val="clear" w:color="auto" w:fill="D9D9D9" w:themeFill="background1" w:themeFillShade="D9"/>
            <w:noWrap/>
            <w:vAlign w:val="bottom"/>
            <w:hideMark/>
          </w:tcPr>
          <w:p w14:paraId="2ED5BEA9" w14:textId="77777777" w:rsidR="00AF0870" w:rsidRPr="00694B06" w:rsidRDefault="00AF0870" w:rsidP="00AC0778">
            <w:pPr>
              <w:pStyle w:val="DataTable"/>
              <w:jc w:val="center"/>
              <w:rPr>
                <w:i/>
                <w:iCs/>
                <w:sz w:val="23"/>
                <w:szCs w:val="23"/>
              </w:rPr>
            </w:pPr>
            <w:r w:rsidRPr="00694B06">
              <w:rPr>
                <w:sz w:val="23"/>
                <w:szCs w:val="23"/>
              </w:rPr>
              <w:t>195</w:t>
            </w:r>
          </w:p>
        </w:tc>
        <w:tc>
          <w:tcPr>
            <w:tcW w:w="1019" w:type="dxa"/>
            <w:shd w:val="clear" w:color="auto" w:fill="D9D9D9" w:themeFill="background1" w:themeFillShade="D9"/>
            <w:noWrap/>
            <w:vAlign w:val="center"/>
            <w:hideMark/>
          </w:tcPr>
          <w:p w14:paraId="59001D21" w14:textId="77777777" w:rsidR="00AF0870" w:rsidRPr="00694B06" w:rsidRDefault="00AF0870" w:rsidP="00AC0778">
            <w:pPr>
              <w:pStyle w:val="DataTable"/>
              <w:jc w:val="center"/>
              <w:rPr>
                <w:i/>
                <w:iCs/>
                <w:sz w:val="23"/>
                <w:szCs w:val="23"/>
              </w:rPr>
            </w:pPr>
            <w:r w:rsidRPr="00694B06">
              <w:rPr>
                <w:sz w:val="23"/>
                <w:szCs w:val="23"/>
              </w:rPr>
              <w:t>85.6%</w:t>
            </w:r>
          </w:p>
        </w:tc>
        <w:tc>
          <w:tcPr>
            <w:tcW w:w="948" w:type="dxa"/>
            <w:shd w:val="clear" w:color="auto" w:fill="D9D9D9" w:themeFill="background1" w:themeFillShade="D9"/>
            <w:noWrap/>
            <w:vAlign w:val="center"/>
            <w:hideMark/>
          </w:tcPr>
          <w:p w14:paraId="746A739F" w14:textId="77777777" w:rsidR="00AF0870" w:rsidRPr="00694B06" w:rsidRDefault="00AF0870" w:rsidP="00AC0778">
            <w:pPr>
              <w:pStyle w:val="DataTable"/>
              <w:jc w:val="center"/>
              <w:rPr>
                <w:i/>
                <w:iCs/>
                <w:sz w:val="23"/>
                <w:szCs w:val="23"/>
              </w:rPr>
            </w:pPr>
            <w:r w:rsidRPr="00694B06">
              <w:rPr>
                <w:sz w:val="23"/>
                <w:szCs w:val="23"/>
              </w:rPr>
              <w:t>78.0%</w:t>
            </w:r>
          </w:p>
        </w:tc>
        <w:tc>
          <w:tcPr>
            <w:tcW w:w="1044" w:type="dxa"/>
            <w:gridSpan w:val="2"/>
            <w:shd w:val="clear" w:color="auto" w:fill="D9D9D9" w:themeFill="background1" w:themeFillShade="D9"/>
            <w:noWrap/>
            <w:vAlign w:val="center"/>
            <w:hideMark/>
          </w:tcPr>
          <w:p w14:paraId="32E28589" w14:textId="77777777" w:rsidR="00AF0870" w:rsidRPr="00694B06" w:rsidRDefault="00AF0870" w:rsidP="00AC0778">
            <w:pPr>
              <w:pStyle w:val="DataTable"/>
              <w:jc w:val="center"/>
              <w:rPr>
                <w:i/>
                <w:iCs/>
                <w:sz w:val="23"/>
                <w:szCs w:val="23"/>
              </w:rPr>
            </w:pPr>
            <w:r w:rsidRPr="00694B06">
              <w:rPr>
                <w:sz w:val="23"/>
                <w:szCs w:val="23"/>
              </w:rPr>
              <w:t>70.3%</w:t>
            </w:r>
          </w:p>
        </w:tc>
        <w:tc>
          <w:tcPr>
            <w:tcW w:w="979" w:type="dxa"/>
            <w:shd w:val="clear" w:color="auto" w:fill="D9D9D9" w:themeFill="background1" w:themeFillShade="D9"/>
            <w:noWrap/>
            <w:vAlign w:val="center"/>
            <w:hideMark/>
          </w:tcPr>
          <w:p w14:paraId="3729AC77" w14:textId="77777777" w:rsidR="00AF0870" w:rsidRPr="00694B06" w:rsidRDefault="00AF0870" w:rsidP="00AC0778">
            <w:pPr>
              <w:pStyle w:val="DataTable"/>
              <w:jc w:val="center"/>
              <w:rPr>
                <w:i/>
                <w:iCs/>
                <w:sz w:val="23"/>
                <w:szCs w:val="23"/>
              </w:rPr>
            </w:pPr>
            <w:r w:rsidRPr="00694B06">
              <w:rPr>
                <w:sz w:val="23"/>
                <w:szCs w:val="23"/>
              </w:rPr>
              <w:t>56.4%</w:t>
            </w:r>
          </w:p>
        </w:tc>
        <w:tc>
          <w:tcPr>
            <w:tcW w:w="1108" w:type="dxa"/>
            <w:gridSpan w:val="2"/>
            <w:shd w:val="clear" w:color="auto" w:fill="D9D9D9" w:themeFill="background1" w:themeFillShade="D9"/>
            <w:noWrap/>
            <w:vAlign w:val="center"/>
            <w:hideMark/>
          </w:tcPr>
          <w:p w14:paraId="54CA26F3" w14:textId="77777777" w:rsidR="00AF0870" w:rsidRPr="00694B06" w:rsidRDefault="00AF0870" w:rsidP="00AC0778">
            <w:pPr>
              <w:pStyle w:val="DataTable"/>
              <w:jc w:val="center"/>
              <w:rPr>
                <w:i/>
                <w:iCs/>
                <w:sz w:val="23"/>
                <w:szCs w:val="23"/>
              </w:rPr>
            </w:pPr>
            <w:r w:rsidRPr="00694B06">
              <w:rPr>
                <w:sz w:val="23"/>
                <w:szCs w:val="23"/>
              </w:rPr>
              <w:t>69.2%</w:t>
            </w:r>
          </w:p>
        </w:tc>
        <w:tc>
          <w:tcPr>
            <w:tcW w:w="1062" w:type="dxa"/>
            <w:gridSpan w:val="2"/>
            <w:shd w:val="clear" w:color="auto" w:fill="D9D9D9" w:themeFill="background1" w:themeFillShade="D9"/>
            <w:noWrap/>
            <w:vAlign w:val="center"/>
            <w:hideMark/>
          </w:tcPr>
          <w:p w14:paraId="6A450A52" w14:textId="77777777" w:rsidR="00AF0870" w:rsidRPr="00694B06" w:rsidRDefault="00AF0870" w:rsidP="00AC0778">
            <w:pPr>
              <w:pStyle w:val="DataTable"/>
              <w:jc w:val="center"/>
              <w:rPr>
                <w:i/>
                <w:iCs/>
                <w:sz w:val="23"/>
                <w:szCs w:val="23"/>
              </w:rPr>
            </w:pPr>
            <w:r w:rsidRPr="00694B06">
              <w:rPr>
                <w:sz w:val="23"/>
                <w:szCs w:val="23"/>
              </w:rPr>
              <w:t>72.8%</w:t>
            </w:r>
          </w:p>
        </w:tc>
      </w:tr>
      <w:tr w:rsidR="00AF0870" w:rsidRPr="00694B06" w14:paraId="2670A76E" w14:textId="77777777" w:rsidTr="00424BBB">
        <w:trPr>
          <w:trHeight w:val="15"/>
        </w:trPr>
        <w:tc>
          <w:tcPr>
            <w:tcW w:w="848" w:type="dxa"/>
            <w:vMerge/>
            <w:vAlign w:val="center"/>
            <w:hideMark/>
          </w:tcPr>
          <w:p w14:paraId="1236E7CD"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5F67712C" w14:textId="77777777" w:rsidR="00AF0870" w:rsidRPr="00694B06" w:rsidRDefault="00AF0870" w:rsidP="00D65653">
            <w:pPr>
              <w:pStyle w:val="DataTable"/>
              <w:rPr>
                <w:i/>
                <w:iCs/>
                <w:sz w:val="23"/>
                <w:szCs w:val="23"/>
              </w:rPr>
            </w:pPr>
            <w:r w:rsidRPr="00694B06">
              <w:rPr>
                <w:sz w:val="23"/>
                <w:szCs w:val="23"/>
              </w:rPr>
              <w:t>Pell Eligible only</w:t>
            </w:r>
          </w:p>
        </w:tc>
        <w:tc>
          <w:tcPr>
            <w:tcW w:w="972" w:type="dxa"/>
            <w:shd w:val="clear" w:color="auto" w:fill="D9D9D9" w:themeFill="background1" w:themeFillShade="D9"/>
            <w:noWrap/>
            <w:vAlign w:val="bottom"/>
            <w:hideMark/>
          </w:tcPr>
          <w:p w14:paraId="1E6D8CB0" w14:textId="77777777" w:rsidR="00AF0870" w:rsidRPr="00694B06" w:rsidRDefault="00AF0870" w:rsidP="00AC0778">
            <w:pPr>
              <w:pStyle w:val="DataTable"/>
              <w:jc w:val="center"/>
              <w:rPr>
                <w:i/>
                <w:iCs/>
                <w:sz w:val="23"/>
                <w:szCs w:val="23"/>
              </w:rPr>
            </w:pPr>
            <w:r w:rsidRPr="00694B06">
              <w:rPr>
                <w:sz w:val="23"/>
                <w:szCs w:val="23"/>
              </w:rPr>
              <w:t>808</w:t>
            </w:r>
          </w:p>
        </w:tc>
        <w:tc>
          <w:tcPr>
            <w:tcW w:w="1019" w:type="dxa"/>
            <w:shd w:val="clear" w:color="auto" w:fill="D9D9D9" w:themeFill="background1" w:themeFillShade="D9"/>
            <w:noWrap/>
            <w:vAlign w:val="center"/>
            <w:hideMark/>
          </w:tcPr>
          <w:p w14:paraId="6BBAFE66" w14:textId="77777777" w:rsidR="00AF0870" w:rsidRPr="00694B06" w:rsidRDefault="00AF0870" w:rsidP="00AC0778">
            <w:pPr>
              <w:pStyle w:val="DataTable"/>
              <w:jc w:val="center"/>
              <w:rPr>
                <w:i/>
                <w:iCs/>
                <w:sz w:val="23"/>
                <w:szCs w:val="23"/>
              </w:rPr>
            </w:pPr>
            <w:r w:rsidRPr="00694B06">
              <w:rPr>
                <w:sz w:val="23"/>
                <w:szCs w:val="23"/>
              </w:rPr>
              <w:t>88.0%</w:t>
            </w:r>
          </w:p>
        </w:tc>
        <w:tc>
          <w:tcPr>
            <w:tcW w:w="948" w:type="dxa"/>
            <w:shd w:val="clear" w:color="auto" w:fill="D9D9D9" w:themeFill="background1" w:themeFillShade="D9"/>
            <w:noWrap/>
            <w:vAlign w:val="center"/>
            <w:hideMark/>
          </w:tcPr>
          <w:p w14:paraId="7FBE6D50" w14:textId="77777777" w:rsidR="00AF0870" w:rsidRPr="00694B06" w:rsidRDefault="00AF0870" w:rsidP="00AC0778">
            <w:pPr>
              <w:pStyle w:val="DataTable"/>
              <w:jc w:val="center"/>
              <w:rPr>
                <w:i/>
                <w:iCs/>
                <w:sz w:val="23"/>
                <w:szCs w:val="23"/>
              </w:rPr>
            </w:pPr>
            <w:r w:rsidRPr="00694B06">
              <w:rPr>
                <w:sz w:val="23"/>
                <w:szCs w:val="23"/>
              </w:rPr>
              <w:t>82.3%</w:t>
            </w:r>
          </w:p>
        </w:tc>
        <w:tc>
          <w:tcPr>
            <w:tcW w:w="1044" w:type="dxa"/>
            <w:gridSpan w:val="2"/>
            <w:shd w:val="clear" w:color="auto" w:fill="D9D9D9" w:themeFill="background1" w:themeFillShade="D9"/>
            <w:noWrap/>
            <w:vAlign w:val="center"/>
            <w:hideMark/>
          </w:tcPr>
          <w:p w14:paraId="47748362" w14:textId="77777777" w:rsidR="00AF0870" w:rsidRPr="00694B06" w:rsidRDefault="00AF0870" w:rsidP="00AC0778">
            <w:pPr>
              <w:pStyle w:val="DataTable"/>
              <w:jc w:val="center"/>
              <w:rPr>
                <w:i/>
                <w:iCs/>
                <w:sz w:val="23"/>
                <w:szCs w:val="23"/>
              </w:rPr>
            </w:pPr>
            <w:r w:rsidRPr="00694B06">
              <w:rPr>
                <w:sz w:val="23"/>
                <w:szCs w:val="23"/>
              </w:rPr>
              <w:t>75.0%</w:t>
            </w:r>
          </w:p>
        </w:tc>
        <w:tc>
          <w:tcPr>
            <w:tcW w:w="979" w:type="dxa"/>
            <w:shd w:val="clear" w:color="auto" w:fill="D9D9D9" w:themeFill="background1" w:themeFillShade="D9"/>
            <w:noWrap/>
            <w:vAlign w:val="center"/>
            <w:hideMark/>
          </w:tcPr>
          <w:p w14:paraId="5BE1210A" w14:textId="77777777" w:rsidR="00AF0870" w:rsidRPr="00694B06" w:rsidRDefault="00AF0870" w:rsidP="00AC0778">
            <w:pPr>
              <w:pStyle w:val="DataTable"/>
              <w:jc w:val="center"/>
              <w:rPr>
                <w:i/>
                <w:iCs/>
                <w:sz w:val="23"/>
                <w:szCs w:val="23"/>
              </w:rPr>
            </w:pPr>
            <w:r w:rsidRPr="00694B06">
              <w:rPr>
                <w:sz w:val="23"/>
                <w:szCs w:val="23"/>
              </w:rPr>
              <w:t>59.4%</w:t>
            </w:r>
          </w:p>
        </w:tc>
        <w:tc>
          <w:tcPr>
            <w:tcW w:w="1108" w:type="dxa"/>
            <w:gridSpan w:val="2"/>
            <w:shd w:val="clear" w:color="auto" w:fill="D9D9D9" w:themeFill="background1" w:themeFillShade="D9"/>
            <w:noWrap/>
            <w:vAlign w:val="center"/>
            <w:hideMark/>
          </w:tcPr>
          <w:p w14:paraId="66BD5FB0" w14:textId="77777777" w:rsidR="00AF0870" w:rsidRPr="00694B06" w:rsidRDefault="00AF0870" w:rsidP="00AC0778">
            <w:pPr>
              <w:pStyle w:val="DataTable"/>
              <w:jc w:val="center"/>
              <w:rPr>
                <w:i/>
                <w:iCs/>
                <w:sz w:val="23"/>
                <w:szCs w:val="23"/>
              </w:rPr>
            </w:pPr>
            <w:r w:rsidRPr="00694B06">
              <w:rPr>
                <w:sz w:val="23"/>
                <w:szCs w:val="23"/>
              </w:rPr>
              <w:t>73.6%</w:t>
            </w:r>
          </w:p>
        </w:tc>
        <w:tc>
          <w:tcPr>
            <w:tcW w:w="1062" w:type="dxa"/>
            <w:gridSpan w:val="2"/>
            <w:shd w:val="clear" w:color="auto" w:fill="D9D9D9" w:themeFill="background1" w:themeFillShade="D9"/>
            <w:noWrap/>
            <w:vAlign w:val="center"/>
            <w:hideMark/>
          </w:tcPr>
          <w:p w14:paraId="0A0CC1BA" w14:textId="77777777" w:rsidR="00AF0870" w:rsidRPr="00694B06" w:rsidRDefault="00AF0870" w:rsidP="00AC0778">
            <w:pPr>
              <w:pStyle w:val="DataTable"/>
              <w:jc w:val="center"/>
              <w:rPr>
                <w:i/>
                <w:iCs/>
                <w:sz w:val="23"/>
                <w:szCs w:val="23"/>
              </w:rPr>
            </w:pPr>
            <w:r w:rsidRPr="00694B06">
              <w:rPr>
                <w:sz w:val="23"/>
                <w:szCs w:val="23"/>
              </w:rPr>
              <w:t>76.7%</w:t>
            </w:r>
          </w:p>
        </w:tc>
      </w:tr>
      <w:tr w:rsidR="00AF0870" w:rsidRPr="00694B06" w14:paraId="1705F385" w14:textId="77777777" w:rsidTr="00424BBB">
        <w:trPr>
          <w:trHeight w:val="15"/>
        </w:trPr>
        <w:tc>
          <w:tcPr>
            <w:tcW w:w="848" w:type="dxa"/>
            <w:vMerge/>
            <w:vAlign w:val="center"/>
            <w:hideMark/>
          </w:tcPr>
          <w:p w14:paraId="4AD3FCE7"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419A10DF" w14:textId="77777777" w:rsidR="00AF0870" w:rsidRPr="00694B06" w:rsidRDefault="00AF0870" w:rsidP="00D65653">
            <w:pPr>
              <w:pStyle w:val="DataTable"/>
              <w:rPr>
                <w:i/>
                <w:iCs/>
                <w:sz w:val="23"/>
                <w:szCs w:val="23"/>
              </w:rPr>
            </w:pPr>
            <w:r w:rsidRPr="00694B06">
              <w:rPr>
                <w:sz w:val="23"/>
                <w:szCs w:val="23"/>
              </w:rPr>
              <w:t>Indiana Residents</w:t>
            </w:r>
          </w:p>
        </w:tc>
        <w:tc>
          <w:tcPr>
            <w:tcW w:w="972" w:type="dxa"/>
            <w:shd w:val="clear" w:color="auto" w:fill="D9D9D9" w:themeFill="background1" w:themeFillShade="D9"/>
            <w:noWrap/>
            <w:vAlign w:val="bottom"/>
            <w:hideMark/>
          </w:tcPr>
          <w:p w14:paraId="4E860484" w14:textId="77777777" w:rsidR="00AF0870" w:rsidRPr="00694B06" w:rsidRDefault="00AF0870" w:rsidP="00AC0778">
            <w:pPr>
              <w:pStyle w:val="DataTable"/>
              <w:jc w:val="center"/>
              <w:rPr>
                <w:i/>
                <w:iCs/>
                <w:sz w:val="23"/>
                <w:szCs w:val="23"/>
              </w:rPr>
            </w:pPr>
            <w:r w:rsidRPr="00694B06">
              <w:rPr>
                <w:sz w:val="23"/>
                <w:szCs w:val="23"/>
              </w:rPr>
              <w:t>4085</w:t>
            </w:r>
          </w:p>
        </w:tc>
        <w:tc>
          <w:tcPr>
            <w:tcW w:w="1019" w:type="dxa"/>
            <w:shd w:val="clear" w:color="auto" w:fill="D9D9D9" w:themeFill="background1" w:themeFillShade="D9"/>
            <w:noWrap/>
            <w:vAlign w:val="center"/>
            <w:hideMark/>
          </w:tcPr>
          <w:p w14:paraId="06681D10" w14:textId="77777777" w:rsidR="00AF0870" w:rsidRPr="00694B06" w:rsidRDefault="00AF0870" w:rsidP="00AC0778">
            <w:pPr>
              <w:pStyle w:val="DataTable"/>
              <w:jc w:val="center"/>
              <w:rPr>
                <w:i/>
                <w:iCs/>
                <w:sz w:val="23"/>
                <w:szCs w:val="23"/>
              </w:rPr>
            </w:pPr>
            <w:r w:rsidRPr="00694B06">
              <w:rPr>
                <w:sz w:val="23"/>
                <w:szCs w:val="23"/>
              </w:rPr>
              <w:t>91.4%</w:t>
            </w:r>
          </w:p>
        </w:tc>
        <w:tc>
          <w:tcPr>
            <w:tcW w:w="948" w:type="dxa"/>
            <w:shd w:val="clear" w:color="auto" w:fill="D9D9D9" w:themeFill="background1" w:themeFillShade="D9"/>
            <w:noWrap/>
            <w:vAlign w:val="center"/>
            <w:hideMark/>
          </w:tcPr>
          <w:p w14:paraId="632FB1DF" w14:textId="77777777" w:rsidR="00AF0870" w:rsidRPr="00694B06" w:rsidRDefault="00AF0870" w:rsidP="00AC0778">
            <w:pPr>
              <w:pStyle w:val="DataTable"/>
              <w:jc w:val="center"/>
              <w:rPr>
                <w:i/>
                <w:iCs/>
                <w:sz w:val="23"/>
                <w:szCs w:val="23"/>
              </w:rPr>
            </w:pPr>
            <w:r w:rsidRPr="00694B06">
              <w:rPr>
                <w:sz w:val="23"/>
                <w:szCs w:val="23"/>
              </w:rPr>
              <w:t>87.0%</w:t>
            </w:r>
          </w:p>
        </w:tc>
        <w:tc>
          <w:tcPr>
            <w:tcW w:w="1044" w:type="dxa"/>
            <w:gridSpan w:val="2"/>
            <w:shd w:val="clear" w:color="auto" w:fill="D9D9D9" w:themeFill="background1" w:themeFillShade="D9"/>
            <w:noWrap/>
            <w:vAlign w:val="center"/>
            <w:hideMark/>
          </w:tcPr>
          <w:p w14:paraId="37C7A7A8" w14:textId="77777777" w:rsidR="00AF0870" w:rsidRPr="00694B06" w:rsidRDefault="00AF0870" w:rsidP="00AC0778">
            <w:pPr>
              <w:pStyle w:val="DataTable"/>
              <w:jc w:val="center"/>
              <w:rPr>
                <w:i/>
                <w:iCs/>
                <w:sz w:val="23"/>
                <w:szCs w:val="23"/>
              </w:rPr>
            </w:pPr>
            <w:r w:rsidRPr="00694B06">
              <w:rPr>
                <w:sz w:val="23"/>
                <w:szCs w:val="23"/>
              </w:rPr>
              <w:t>81.6%</w:t>
            </w:r>
          </w:p>
        </w:tc>
        <w:tc>
          <w:tcPr>
            <w:tcW w:w="979" w:type="dxa"/>
            <w:shd w:val="clear" w:color="auto" w:fill="D9D9D9" w:themeFill="background1" w:themeFillShade="D9"/>
            <w:noWrap/>
            <w:vAlign w:val="center"/>
            <w:hideMark/>
          </w:tcPr>
          <w:p w14:paraId="0177A43D" w14:textId="77777777" w:rsidR="00AF0870" w:rsidRPr="00694B06" w:rsidRDefault="00AF0870" w:rsidP="00AC0778">
            <w:pPr>
              <w:pStyle w:val="DataTable"/>
              <w:jc w:val="center"/>
              <w:rPr>
                <w:i/>
                <w:iCs/>
                <w:sz w:val="23"/>
                <w:szCs w:val="23"/>
              </w:rPr>
            </w:pPr>
            <w:r w:rsidRPr="00694B06">
              <w:rPr>
                <w:sz w:val="23"/>
                <w:szCs w:val="23"/>
              </w:rPr>
              <w:t>65.2%</w:t>
            </w:r>
          </w:p>
        </w:tc>
        <w:tc>
          <w:tcPr>
            <w:tcW w:w="1108" w:type="dxa"/>
            <w:gridSpan w:val="2"/>
            <w:shd w:val="clear" w:color="auto" w:fill="D9D9D9" w:themeFill="background1" w:themeFillShade="D9"/>
            <w:noWrap/>
            <w:vAlign w:val="center"/>
            <w:hideMark/>
          </w:tcPr>
          <w:p w14:paraId="65E46138" w14:textId="77777777" w:rsidR="00AF0870" w:rsidRPr="00694B06" w:rsidRDefault="00AF0870" w:rsidP="00AC0778">
            <w:pPr>
              <w:pStyle w:val="DataTable"/>
              <w:jc w:val="center"/>
              <w:rPr>
                <w:i/>
                <w:iCs/>
                <w:sz w:val="23"/>
                <w:szCs w:val="23"/>
              </w:rPr>
            </w:pPr>
            <w:r w:rsidRPr="00694B06">
              <w:rPr>
                <w:sz w:val="23"/>
                <w:szCs w:val="23"/>
              </w:rPr>
              <w:t>79.2%</w:t>
            </w:r>
          </w:p>
        </w:tc>
        <w:tc>
          <w:tcPr>
            <w:tcW w:w="1062" w:type="dxa"/>
            <w:gridSpan w:val="2"/>
            <w:shd w:val="clear" w:color="auto" w:fill="D9D9D9" w:themeFill="background1" w:themeFillShade="D9"/>
            <w:noWrap/>
            <w:vAlign w:val="center"/>
            <w:hideMark/>
          </w:tcPr>
          <w:p w14:paraId="05728FDE" w14:textId="77777777" w:rsidR="00AF0870" w:rsidRPr="00694B06" w:rsidRDefault="00AF0870" w:rsidP="00AC0778">
            <w:pPr>
              <w:pStyle w:val="DataTable"/>
              <w:jc w:val="center"/>
              <w:rPr>
                <w:i/>
                <w:iCs/>
                <w:sz w:val="23"/>
                <w:szCs w:val="23"/>
              </w:rPr>
            </w:pPr>
            <w:r w:rsidRPr="00694B06">
              <w:rPr>
                <w:sz w:val="23"/>
                <w:szCs w:val="23"/>
              </w:rPr>
              <w:t>82.0%</w:t>
            </w:r>
          </w:p>
        </w:tc>
      </w:tr>
      <w:tr w:rsidR="00AF0870" w:rsidRPr="00694B06" w14:paraId="0DB70BA7" w14:textId="77777777" w:rsidTr="00424BBB">
        <w:trPr>
          <w:trHeight w:val="15"/>
        </w:trPr>
        <w:tc>
          <w:tcPr>
            <w:tcW w:w="848" w:type="dxa"/>
            <w:vMerge/>
            <w:vAlign w:val="center"/>
            <w:hideMark/>
          </w:tcPr>
          <w:p w14:paraId="5A5BEDD0"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13BF1CC2" w14:textId="77777777" w:rsidR="00AF0870" w:rsidRPr="00694B06" w:rsidRDefault="00AF0870" w:rsidP="00D65653">
            <w:pPr>
              <w:pStyle w:val="DataTable"/>
              <w:rPr>
                <w:i/>
                <w:iCs/>
                <w:sz w:val="23"/>
                <w:szCs w:val="23"/>
              </w:rPr>
            </w:pPr>
            <w:r w:rsidRPr="00694B06">
              <w:rPr>
                <w:sz w:val="23"/>
                <w:szCs w:val="23"/>
              </w:rPr>
              <w:t>University Rate</w:t>
            </w:r>
          </w:p>
        </w:tc>
        <w:tc>
          <w:tcPr>
            <w:tcW w:w="972" w:type="dxa"/>
            <w:shd w:val="clear" w:color="auto" w:fill="D9D9D9" w:themeFill="background1" w:themeFillShade="D9"/>
            <w:noWrap/>
            <w:vAlign w:val="bottom"/>
            <w:hideMark/>
          </w:tcPr>
          <w:p w14:paraId="25BEE9F0" w14:textId="77777777" w:rsidR="00AF0870" w:rsidRPr="00694B06" w:rsidRDefault="00AF0870" w:rsidP="00AC0778">
            <w:pPr>
              <w:pStyle w:val="DataTable"/>
              <w:jc w:val="center"/>
              <w:rPr>
                <w:i/>
                <w:iCs/>
                <w:sz w:val="23"/>
                <w:szCs w:val="23"/>
              </w:rPr>
            </w:pPr>
            <w:r w:rsidRPr="00694B06">
              <w:rPr>
                <w:sz w:val="23"/>
                <w:szCs w:val="23"/>
              </w:rPr>
              <w:t>7548</w:t>
            </w:r>
          </w:p>
        </w:tc>
        <w:tc>
          <w:tcPr>
            <w:tcW w:w="1019" w:type="dxa"/>
            <w:shd w:val="clear" w:color="auto" w:fill="D9D9D9" w:themeFill="background1" w:themeFillShade="D9"/>
            <w:noWrap/>
            <w:vAlign w:val="center"/>
            <w:hideMark/>
          </w:tcPr>
          <w:p w14:paraId="28215D27" w14:textId="77777777" w:rsidR="00AF0870" w:rsidRPr="00694B06" w:rsidRDefault="00AF0870" w:rsidP="00AC0778">
            <w:pPr>
              <w:pStyle w:val="DataTable"/>
              <w:jc w:val="center"/>
              <w:rPr>
                <w:i/>
                <w:iCs/>
                <w:sz w:val="23"/>
                <w:szCs w:val="23"/>
              </w:rPr>
            </w:pPr>
            <w:r w:rsidRPr="00694B06">
              <w:rPr>
                <w:sz w:val="23"/>
                <w:szCs w:val="23"/>
              </w:rPr>
              <w:t>91.9%</w:t>
            </w:r>
          </w:p>
        </w:tc>
        <w:tc>
          <w:tcPr>
            <w:tcW w:w="948" w:type="dxa"/>
            <w:shd w:val="clear" w:color="auto" w:fill="D9D9D9" w:themeFill="background1" w:themeFillShade="D9"/>
            <w:noWrap/>
            <w:vAlign w:val="center"/>
            <w:hideMark/>
          </w:tcPr>
          <w:p w14:paraId="22FF6727" w14:textId="77777777" w:rsidR="00AF0870" w:rsidRPr="00694B06" w:rsidRDefault="00AF0870" w:rsidP="00AC0778">
            <w:pPr>
              <w:pStyle w:val="DataTable"/>
              <w:jc w:val="center"/>
              <w:rPr>
                <w:i/>
                <w:iCs/>
                <w:sz w:val="23"/>
                <w:szCs w:val="23"/>
              </w:rPr>
            </w:pPr>
            <w:r w:rsidRPr="00694B06">
              <w:rPr>
                <w:sz w:val="23"/>
                <w:szCs w:val="23"/>
              </w:rPr>
              <w:t>87.8%</w:t>
            </w:r>
          </w:p>
        </w:tc>
        <w:tc>
          <w:tcPr>
            <w:tcW w:w="1044" w:type="dxa"/>
            <w:gridSpan w:val="2"/>
            <w:shd w:val="clear" w:color="auto" w:fill="D9D9D9" w:themeFill="background1" w:themeFillShade="D9"/>
            <w:noWrap/>
            <w:vAlign w:val="center"/>
            <w:hideMark/>
          </w:tcPr>
          <w:p w14:paraId="3B250FAC" w14:textId="77777777" w:rsidR="00AF0870" w:rsidRPr="00694B06" w:rsidRDefault="00AF0870" w:rsidP="00AC0778">
            <w:pPr>
              <w:pStyle w:val="DataTable"/>
              <w:jc w:val="center"/>
              <w:rPr>
                <w:i/>
                <w:iCs/>
                <w:sz w:val="23"/>
                <w:szCs w:val="23"/>
              </w:rPr>
            </w:pPr>
            <w:r w:rsidRPr="00694B06">
              <w:rPr>
                <w:sz w:val="23"/>
                <w:szCs w:val="23"/>
              </w:rPr>
              <w:t>83.1%</w:t>
            </w:r>
          </w:p>
        </w:tc>
        <w:tc>
          <w:tcPr>
            <w:tcW w:w="979" w:type="dxa"/>
            <w:shd w:val="clear" w:color="auto" w:fill="D9D9D9" w:themeFill="background1" w:themeFillShade="D9"/>
            <w:noWrap/>
            <w:vAlign w:val="center"/>
            <w:hideMark/>
          </w:tcPr>
          <w:p w14:paraId="17D6FE6C" w14:textId="77777777" w:rsidR="00AF0870" w:rsidRPr="00694B06" w:rsidRDefault="00AF0870" w:rsidP="00AC0778">
            <w:pPr>
              <w:pStyle w:val="DataTable"/>
              <w:jc w:val="center"/>
              <w:rPr>
                <w:i/>
                <w:iCs/>
                <w:sz w:val="23"/>
                <w:szCs w:val="23"/>
              </w:rPr>
            </w:pPr>
            <w:r w:rsidRPr="00694B06">
              <w:rPr>
                <w:sz w:val="23"/>
                <w:szCs w:val="23"/>
              </w:rPr>
              <w:t>65.0%</w:t>
            </w:r>
          </w:p>
        </w:tc>
        <w:tc>
          <w:tcPr>
            <w:tcW w:w="1108" w:type="dxa"/>
            <w:gridSpan w:val="2"/>
            <w:shd w:val="clear" w:color="auto" w:fill="D9D9D9" w:themeFill="background1" w:themeFillShade="D9"/>
            <w:noWrap/>
            <w:vAlign w:val="center"/>
            <w:hideMark/>
          </w:tcPr>
          <w:p w14:paraId="2DEB2CE8" w14:textId="77777777" w:rsidR="00AF0870" w:rsidRPr="00694B06" w:rsidRDefault="00AF0870" w:rsidP="00AC0778">
            <w:pPr>
              <w:pStyle w:val="DataTable"/>
              <w:jc w:val="center"/>
              <w:rPr>
                <w:i/>
                <w:iCs/>
                <w:sz w:val="23"/>
                <w:szCs w:val="23"/>
              </w:rPr>
            </w:pPr>
            <w:r w:rsidRPr="00694B06">
              <w:rPr>
                <w:sz w:val="23"/>
                <w:szCs w:val="23"/>
              </w:rPr>
              <w:t>80.6%</w:t>
            </w:r>
          </w:p>
        </w:tc>
        <w:tc>
          <w:tcPr>
            <w:tcW w:w="1062" w:type="dxa"/>
            <w:gridSpan w:val="2"/>
            <w:shd w:val="clear" w:color="auto" w:fill="D9D9D9" w:themeFill="background1" w:themeFillShade="D9"/>
            <w:noWrap/>
            <w:vAlign w:val="center"/>
            <w:hideMark/>
          </w:tcPr>
          <w:p w14:paraId="3226988C" w14:textId="77777777" w:rsidR="00AF0870" w:rsidRPr="00694B06" w:rsidRDefault="00AF0870" w:rsidP="00AC0778">
            <w:pPr>
              <w:pStyle w:val="DataTable"/>
              <w:jc w:val="center"/>
              <w:rPr>
                <w:i/>
                <w:iCs/>
                <w:sz w:val="23"/>
                <w:szCs w:val="23"/>
              </w:rPr>
            </w:pPr>
            <w:r w:rsidRPr="00694B06">
              <w:rPr>
                <w:sz w:val="23"/>
                <w:szCs w:val="23"/>
              </w:rPr>
              <w:t>83.8%</w:t>
            </w:r>
          </w:p>
        </w:tc>
      </w:tr>
      <w:tr w:rsidR="00AF0870" w:rsidRPr="00694B06" w14:paraId="183E8B2C" w14:textId="77777777" w:rsidTr="00424BBB">
        <w:trPr>
          <w:trHeight w:val="15"/>
        </w:trPr>
        <w:tc>
          <w:tcPr>
            <w:tcW w:w="848" w:type="dxa"/>
            <w:vMerge w:val="restart"/>
            <w:noWrap/>
            <w:vAlign w:val="center"/>
            <w:hideMark/>
          </w:tcPr>
          <w:p w14:paraId="4246C283" w14:textId="77777777" w:rsidR="00AF0870" w:rsidRPr="00694B06" w:rsidRDefault="00AF0870" w:rsidP="00D65653">
            <w:pPr>
              <w:pStyle w:val="DataTable"/>
              <w:rPr>
                <w:i/>
                <w:iCs/>
                <w:sz w:val="23"/>
                <w:szCs w:val="23"/>
              </w:rPr>
            </w:pPr>
            <w:r w:rsidRPr="00694B06">
              <w:rPr>
                <w:sz w:val="23"/>
                <w:szCs w:val="23"/>
              </w:rPr>
              <w:t>2018</w:t>
            </w:r>
          </w:p>
        </w:tc>
        <w:tc>
          <w:tcPr>
            <w:tcW w:w="2089" w:type="dxa"/>
            <w:noWrap/>
            <w:vAlign w:val="bottom"/>
            <w:hideMark/>
          </w:tcPr>
          <w:p w14:paraId="2FA0E1F3"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noWrap/>
            <w:vAlign w:val="bottom"/>
            <w:hideMark/>
          </w:tcPr>
          <w:p w14:paraId="4A08F042" w14:textId="77777777" w:rsidR="00AF0870" w:rsidRPr="00694B06" w:rsidRDefault="00AF0870" w:rsidP="00AC0778">
            <w:pPr>
              <w:pStyle w:val="DataTable"/>
              <w:jc w:val="center"/>
              <w:rPr>
                <w:i/>
                <w:iCs/>
                <w:sz w:val="23"/>
                <w:szCs w:val="23"/>
              </w:rPr>
            </w:pPr>
            <w:r w:rsidRPr="00694B06">
              <w:rPr>
                <w:sz w:val="23"/>
                <w:szCs w:val="23"/>
              </w:rPr>
              <w:t>313</w:t>
            </w:r>
          </w:p>
        </w:tc>
        <w:tc>
          <w:tcPr>
            <w:tcW w:w="1019" w:type="dxa"/>
            <w:noWrap/>
            <w:vAlign w:val="center"/>
            <w:hideMark/>
          </w:tcPr>
          <w:p w14:paraId="53F5EAAB" w14:textId="77777777" w:rsidR="00AF0870" w:rsidRPr="00694B06" w:rsidRDefault="00AF0870" w:rsidP="00AC0778">
            <w:pPr>
              <w:pStyle w:val="DataTable"/>
              <w:jc w:val="center"/>
              <w:rPr>
                <w:i/>
                <w:iCs/>
                <w:sz w:val="23"/>
                <w:szCs w:val="23"/>
              </w:rPr>
            </w:pPr>
            <w:r w:rsidRPr="00694B06">
              <w:rPr>
                <w:sz w:val="23"/>
                <w:szCs w:val="23"/>
              </w:rPr>
              <w:t>84.7%</w:t>
            </w:r>
          </w:p>
        </w:tc>
        <w:tc>
          <w:tcPr>
            <w:tcW w:w="948" w:type="dxa"/>
            <w:noWrap/>
            <w:vAlign w:val="center"/>
            <w:hideMark/>
          </w:tcPr>
          <w:p w14:paraId="1C388208" w14:textId="77777777" w:rsidR="00AF0870" w:rsidRPr="00694B06" w:rsidRDefault="00AF0870" w:rsidP="00AC0778">
            <w:pPr>
              <w:pStyle w:val="DataTable"/>
              <w:jc w:val="center"/>
              <w:rPr>
                <w:i/>
                <w:iCs/>
                <w:sz w:val="23"/>
                <w:szCs w:val="23"/>
              </w:rPr>
            </w:pPr>
            <w:r w:rsidRPr="00694B06">
              <w:rPr>
                <w:sz w:val="23"/>
                <w:szCs w:val="23"/>
              </w:rPr>
              <w:t>79.2%</w:t>
            </w:r>
          </w:p>
        </w:tc>
        <w:tc>
          <w:tcPr>
            <w:tcW w:w="1044" w:type="dxa"/>
            <w:gridSpan w:val="2"/>
            <w:noWrap/>
            <w:vAlign w:val="center"/>
            <w:hideMark/>
          </w:tcPr>
          <w:p w14:paraId="3EE13390" w14:textId="77777777" w:rsidR="00AF0870" w:rsidRPr="00694B06" w:rsidRDefault="00AF0870" w:rsidP="00AC0778">
            <w:pPr>
              <w:pStyle w:val="DataTable"/>
              <w:jc w:val="center"/>
              <w:rPr>
                <w:i/>
                <w:iCs/>
                <w:sz w:val="23"/>
                <w:szCs w:val="23"/>
              </w:rPr>
            </w:pPr>
            <w:r w:rsidRPr="00694B06">
              <w:rPr>
                <w:sz w:val="23"/>
                <w:szCs w:val="23"/>
              </w:rPr>
              <w:t>72.8%</w:t>
            </w:r>
          </w:p>
        </w:tc>
        <w:tc>
          <w:tcPr>
            <w:tcW w:w="979" w:type="dxa"/>
            <w:noWrap/>
            <w:vAlign w:val="center"/>
            <w:hideMark/>
          </w:tcPr>
          <w:p w14:paraId="6084002A" w14:textId="77777777" w:rsidR="00AF0870" w:rsidRPr="00694B06" w:rsidRDefault="00AF0870" w:rsidP="00AC0778">
            <w:pPr>
              <w:pStyle w:val="DataTable"/>
              <w:jc w:val="center"/>
              <w:rPr>
                <w:i/>
                <w:iCs/>
                <w:sz w:val="23"/>
                <w:szCs w:val="23"/>
              </w:rPr>
            </w:pPr>
            <w:r w:rsidRPr="00694B06">
              <w:rPr>
                <w:sz w:val="23"/>
                <w:szCs w:val="23"/>
              </w:rPr>
              <w:t>51.8%</w:t>
            </w:r>
          </w:p>
        </w:tc>
        <w:tc>
          <w:tcPr>
            <w:tcW w:w="1108" w:type="dxa"/>
            <w:gridSpan w:val="2"/>
            <w:noWrap/>
            <w:vAlign w:val="center"/>
            <w:hideMark/>
          </w:tcPr>
          <w:p w14:paraId="430737D4" w14:textId="77777777" w:rsidR="00AF0870" w:rsidRPr="00694B06" w:rsidRDefault="00AF0870" w:rsidP="00AC0778">
            <w:pPr>
              <w:pStyle w:val="DataTable"/>
              <w:jc w:val="center"/>
              <w:rPr>
                <w:i/>
                <w:iCs/>
                <w:sz w:val="23"/>
                <w:szCs w:val="23"/>
              </w:rPr>
            </w:pPr>
            <w:r w:rsidRPr="00694B06">
              <w:rPr>
                <w:sz w:val="23"/>
                <w:szCs w:val="23"/>
              </w:rPr>
              <w:t>64.2%</w:t>
            </w:r>
          </w:p>
        </w:tc>
        <w:tc>
          <w:tcPr>
            <w:tcW w:w="1062" w:type="dxa"/>
            <w:gridSpan w:val="2"/>
            <w:noWrap/>
            <w:vAlign w:val="center"/>
            <w:hideMark/>
          </w:tcPr>
          <w:p w14:paraId="06F5A16D" w14:textId="77777777" w:rsidR="00AF0870" w:rsidRPr="00694B06" w:rsidRDefault="00AF0870" w:rsidP="00AC0778">
            <w:pPr>
              <w:pStyle w:val="DataTable"/>
              <w:jc w:val="center"/>
              <w:rPr>
                <w:i/>
                <w:iCs/>
                <w:sz w:val="23"/>
                <w:szCs w:val="23"/>
              </w:rPr>
            </w:pPr>
            <w:r w:rsidRPr="00694B06">
              <w:rPr>
                <w:sz w:val="23"/>
                <w:szCs w:val="23"/>
              </w:rPr>
              <w:t>66.5%</w:t>
            </w:r>
          </w:p>
        </w:tc>
      </w:tr>
      <w:tr w:rsidR="00AF0870" w:rsidRPr="00694B06" w14:paraId="09DE38F5" w14:textId="77777777" w:rsidTr="00424BBB">
        <w:trPr>
          <w:trHeight w:val="15"/>
        </w:trPr>
        <w:tc>
          <w:tcPr>
            <w:tcW w:w="848" w:type="dxa"/>
            <w:vMerge/>
            <w:vAlign w:val="center"/>
            <w:hideMark/>
          </w:tcPr>
          <w:p w14:paraId="326DCFC8" w14:textId="77777777" w:rsidR="00AF0870" w:rsidRPr="00694B06" w:rsidRDefault="00AF0870" w:rsidP="00D65653">
            <w:pPr>
              <w:pStyle w:val="DataTable"/>
              <w:rPr>
                <w:i/>
                <w:iCs/>
                <w:sz w:val="23"/>
                <w:szCs w:val="23"/>
              </w:rPr>
            </w:pPr>
          </w:p>
        </w:tc>
        <w:tc>
          <w:tcPr>
            <w:tcW w:w="2089" w:type="dxa"/>
            <w:noWrap/>
            <w:vAlign w:val="bottom"/>
            <w:hideMark/>
          </w:tcPr>
          <w:p w14:paraId="39C8F95C" w14:textId="77777777" w:rsidR="00AF0870" w:rsidRPr="00694B06" w:rsidRDefault="00AF0870" w:rsidP="00D65653">
            <w:pPr>
              <w:pStyle w:val="DataTable"/>
              <w:rPr>
                <w:i/>
                <w:iCs/>
                <w:sz w:val="23"/>
                <w:szCs w:val="23"/>
              </w:rPr>
            </w:pPr>
            <w:r w:rsidRPr="00694B06">
              <w:rPr>
                <w:sz w:val="23"/>
                <w:szCs w:val="23"/>
              </w:rPr>
              <w:t>TfCS only</w:t>
            </w:r>
          </w:p>
        </w:tc>
        <w:tc>
          <w:tcPr>
            <w:tcW w:w="972" w:type="dxa"/>
            <w:noWrap/>
            <w:vAlign w:val="bottom"/>
            <w:hideMark/>
          </w:tcPr>
          <w:p w14:paraId="6E12FFC2" w14:textId="77777777" w:rsidR="00AF0870" w:rsidRPr="00694B06" w:rsidRDefault="00AF0870" w:rsidP="00AC0778">
            <w:pPr>
              <w:pStyle w:val="DataTable"/>
              <w:jc w:val="center"/>
              <w:rPr>
                <w:i/>
                <w:iCs/>
                <w:sz w:val="23"/>
                <w:szCs w:val="23"/>
              </w:rPr>
            </w:pPr>
            <w:r w:rsidRPr="00694B06">
              <w:rPr>
                <w:sz w:val="23"/>
                <w:szCs w:val="23"/>
              </w:rPr>
              <w:t>212</w:t>
            </w:r>
          </w:p>
        </w:tc>
        <w:tc>
          <w:tcPr>
            <w:tcW w:w="1019" w:type="dxa"/>
            <w:noWrap/>
            <w:vAlign w:val="center"/>
            <w:hideMark/>
          </w:tcPr>
          <w:p w14:paraId="69EA9E4D" w14:textId="77777777" w:rsidR="00AF0870" w:rsidRPr="00694B06" w:rsidRDefault="00AF0870" w:rsidP="00AC0778">
            <w:pPr>
              <w:pStyle w:val="DataTable"/>
              <w:jc w:val="center"/>
              <w:rPr>
                <w:i/>
                <w:iCs/>
                <w:sz w:val="23"/>
                <w:szCs w:val="23"/>
              </w:rPr>
            </w:pPr>
            <w:r w:rsidRPr="00694B06">
              <w:rPr>
                <w:sz w:val="23"/>
                <w:szCs w:val="23"/>
              </w:rPr>
              <w:t>89.2%</w:t>
            </w:r>
          </w:p>
        </w:tc>
        <w:tc>
          <w:tcPr>
            <w:tcW w:w="948" w:type="dxa"/>
            <w:noWrap/>
            <w:vAlign w:val="center"/>
            <w:hideMark/>
          </w:tcPr>
          <w:p w14:paraId="68C7CE4E" w14:textId="77777777" w:rsidR="00AF0870" w:rsidRPr="00694B06" w:rsidRDefault="00AF0870" w:rsidP="00AC0778">
            <w:pPr>
              <w:pStyle w:val="DataTable"/>
              <w:jc w:val="center"/>
              <w:rPr>
                <w:i/>
                <w:iCs/>
                <w:sz w:val="23"/>
                <w:szCs w:val="23"/>
              </w:rPr>
            </w:pPr>
            <w:r w:rsidRPr="00694B06">
              <w:rPr>
                <w:sz w:val="23"/>
                <w:szCs w:val="23"/>
              </w:rPr>
              <w:t>85.4%</w:t>
            </w:r>
          </w:p>
        </w:tc>
        <w:tc>
          <w:tcPr>
            <w:tcW w:w="1044" w:type="dxa"/>
            <w:gridSpan w:val="2"/>
            <w:noWrap/>
            <w:vAlign w:val="center"/>
            <w:hideMark/>
          </w:tcPr>
          <w:p w14:paraId="54427A79" w14:textId="77777777" w:rsidR="00AF0870" w:rsidRPr="00694B06" w:rsidRDefault="00AF0870" w:rsidP="00AC0778">
            <w:pPr>
              <w:pStyle w:val="DataTable"/>
              <w:jc w:val="center"/>
              <w:rPr>
                <w:i/>
                <w:iCs/>
                <w:sz w:val="23"/>
                <w:szCs w:val="23"/>
              </w:rPr>
            </w:pPr>
            <w:r w:rsidRPr="00694B06">
              <w:rPr>
                <w:sz w:val="23"/>
                <w:szCs w:val="23"/>
              </w:rPr>
              <w:t>81.6%</w:t>
            </w:r>
          </w:p>
        </w:tc>
        <w:tc>
          <w:tcPr>
            <w:tcW w:w="979" w:type="dxa"/>
            <w:noWrap/>
            <w:vAlign w:val="center"/>
            <w:hideMark/>
          </w:tcPr>
          <w:p w14:paraId="156162A1" w14:textId="77777777" w:rsidR="00AF0870" w:rsidRPr="00694B06" w:rsidRDefault="00AF0870" w:rsidP="00AC0778">
            <w:pPr>
              <w:pStyle w:val="DataTable"/>
              <w:jc w:val="center"/>
              <w:rPr>
                <w:i/>
                <w:iCs/>
                <w:sz w:val="23"/>
                <w:szCs w:val="23"/>
              </w:rPr>
            </w:pPr>
            <w:r w:rsidRPr="00694B06">
              <w:rPr>
                <w:sz w:val="23"/>
                <w:szCs w:val="23"/>
              </w:rPr>
              <w:t>61.3%</w:t>
            </w:r>
          </w:p>
        </w:tc>
        <w:tc>
          <w:tcPr>
            <w:tcW w:w="1108" w:type="dxa"/>
            <w:gridSpan w:val="2"/>
            <w:noWrap/>
            <w:vAlign w:val="center"/>
            <w:hideMark/>
          </w:tcPr>
          <w:p w14:paraId="541178D4" w14:textId="77777777" w:rsidR="00AF0870" w:rsidRPr="00694B06" w:rsidRDefault="00AF0870" w:rsidP="00AC0778">
            <w:pPr>
              <w:pStyle w:val="DataTable"/>
              <w:jc w:val="center"/>
              <w:rPr>
                <w:i/>
                <w:iCs/>
                <w:sz w:val="23"/>
                <w:szCs w:val="23"/>
              </w:rPr>
            </w:pPr>
            <w:r w:rsidRPr="00694B06">
              <w:rPr>
                <w:sz w:val="23"/>
                <w:szCs w:val="23"/>
              </w:rPr>
              <w:t>72.6%</w:t>
            </w:r>
          </w:p>
        </w:tc>
        <w:tc>
          <w:tcPr>
            <w:tcW w:w="1062" w:type="dxa"/>
            <w:gridSpan w:val="2"/>
            <w:noWrap/>
            <w:vAlign w:val="center"/>
            <w:hideMark/>
          </w:tcPr>
          <w:p w14:paraId="3D553BA7" w14:textId="77777777" w:rsidR="00AF0870" w:rsidRPr="00694B06" w:rsidRDefault="00AF0870" w:rsidP="00AC0778">
            <w:pPr>
              <w:pStyle w:val="DataTable"/>
              <w:jc w:val="center"/>
              <w:rPr>
                <w:i/>
                <w:iCs/>
                <w:sz w:val="23"/>
                <w:szCs w:val="23"/>
              </w:rPr>
            </w:pPr>
            <w:r w:rsidRPr="00694B06">
              <w:rPr>
                <w:sz w:val="23"/>
                <w:szCs w:val="23"/>
              </w:rPr>
              <w:t>76.4%</w:t>
            </w:r>
          </w:p>
        </w:tc>
      </w:tr>
      <w:tr w:rsidR="00AF0870" w:rsidRPr="00694B06" w14:paraId="793075F4" w14:textId="77777777" w:rsidTr="00424BBB">
        <w:trPr>
          <w:trHeight w:val="15"/>
        </w:trPr>
        <w:tc>
          <w:tcPr>
            <w:tcW w:w="848" w:type="dxa"/>
            <w:vMerge/>
            <w:vAlign w:val="center"/>
            <w:hideMark/>
          </w:tcPr>
          <w:p w14:paraId="2D3BC6D4" w14:textId="77777777" w:rsidR="00AF0870" w:rsidRPr="00694B06" w:rsidRDefault="00AF0870" w:rsidP="00D65653">
            <w:pPr>
              <w:pStyle w:val="DataTable"/>
              <w:rPr>
                <w:i/>
                <w:iCs/>
                <w:sz w:val="23"/>
                <w:szCs w:val="23"/>
              </w:rPr>
            </w:pPr>
          </w:p>
        </w:tc>
        <w:tc>
          <w:tcPr>
            <w:tcW w:w="2089" w:type="dxa"/>
            <w:noWrap/>
            <w:vAlign w:val="bottom"/>
            <w:hideMark/>
          </w:tcPr>
          <w:p w14:paraId="694772DA" w14:textId="77777777" w:rsidR="00AF0870" w:rsidRPr="00694B06" w:rsidRDefault="00AF0870" w:rsidP="00D65653">
            <w:pPr>
              <w:pStyle w:val="DataTable"/>
              <w:rPr>
                <w:i/>
                <w:iCs/>
                <w:sz w:val="23"/>
                <w:szCs w:val="23"/>
              </w:rPr>
            </w:pPr>
            <w:r w:rsidRPr="00694B06">
              <w:rPr>
                <w:sz w:val="23"/>
                <w:szCs w:val="23"/>
              </w:rPr>
              <w:t>Pell Eligible only</w:t>
            </w:r>
          </w:p>
        </w:tc>
        <w:tc>
          <w:tcPr>
            <w:tcW w:w="972" w:type="dxa"/>
            <w:noWrap/>
            <w:vAlign w:val="bottom"/>
            <w:hideMark/>
          </w:tcPr>
          <w:p w14:paraId="750E0C1B" w14:textId="77777777" w:rsidR="00AF0870" w:rsidRPr="00694B06" w:rsidRDefault="00AF0870" w:rsidP="00AC0778">
            <w:pPr>
              <w:pStyle w:val="DataTable"/>
              <w:jc w:val="center"/>
              <w:rPr>
                <w:i/>
                <w:iCs/>
                <w:sz w:val="23"/>
                <w:szCs w:val="23"/>
              </w:rPr>
            </w:pPr>
            <w:r w:rsidRPr="00694B06">
              <w:rPr>
                <w:sz w:val="23"/>
                <w:szCs w:val="23"/>
              </w:rPr>
              <w:t>944</w:t>
            </w:r>
          </w:p>
        </w:tc>
        <w:tc>
          <w:tcPr>
            <w:tcW w:w="1019" w:type="dxa"/>
            <w:noWrap/>
            <w:vAlign w:val="center"/>
            <w:hideMark/>
          </w:tcPr>
          <w:p w14:paraId="36F34BC4" w14:textId="77777777" w:rsidR="00AF0870" w:rsidRPr="00694B06" w:rsidRDefault="00AF0870" w:rsidP="00AC0778">
            <w:pPr>
              <w:pStyle w:val="DataTable"/>
              <w:jc w:val="center"/>
              <w:rPr>
                <w:i/>
                <w:iCs/>
                <w:sz w:val="23"/>
                <w:szCs w:val="23"/>
              </w:rPr>
            </w:pPr>
            <w:r w:rsidRPr="00694B06">
              <w:rPr>
                <w:sz w:val="23"/>
                <w:szCs w:val="23"/>
              </w:rPr>
              <w:t>87.3%</w:t>
            </w:r>
          </w:p>
        </w:tc>
        <w:tc>
          <w:tcPr>
            <w:tcW w:w="948" w:type="dxa"/>
            <w:noWrap/>
            <w:vAlign w:val="center"/>
            <w:hideMark/>
          </w:tcPr>
          <w:p w14:paraId="2EAE5DAB" w14:textId="77777777" w:rsidR="00AF0870" w:rsidRPr="00694B06" w:rsidRDefault="00AF0870" w:rsidP="00AC0778">
            <w:pPr>
              <w:pStyle w:val="DataTable"/>
              <w:jc w:val="center"/>
              <w:rPr>
                <w:i/>
                <w:iCs/>
                <w:sz w:val="23"/>
                <w:szCs w:val="23"/>
              </w:rPr>
            </w:pPr>
            <w:r w:rsidRPr="00694B06">
              <w:rPr>
                <w:sz w:val="23"/>
                <w:szCs w:val="23"/>
              </w:rPr>
              <w:t>80.7%</w:t>
            </w:r>
          </w:p>
        </w:tc>
        <w:tc>
          <w:tcPr>
            <w:tcW w:w="1044" w:type="dxa"/>
            <w:gridSpan w:val="2"/>
            <w:noWrap/>
            <w:vAlign w:val="center"/>
            <w:hideMark/>
          </w:tcPr>
          <w:p w14:paraId="724C3D30" w14:textId="77777777" w:rsidR="00AF0870" w:rsidRPr="00694B06" w:rsidRDefault="00AF0870" w:rsidP="00AC0778">
            <w:pPr>
              <w:pStyle w:val="DataTable"/>
              <w:jc w:val="center"/>
              <w:rPr>
                <w:i/>
                <w:iCs/>
                <w:sz w:val="23"/>
                <w:szCs w:val="23"/>
              </w:rPr>
            </w:pPr>
            <w:r w:rsidRPr="00694B06">
              <w:rPr>
                <w:sz w:val="23"/>
                <w:szCs w:val="23"/>
              </w:rPr>
              <w:t>74.1%</w:t>
            </w:r>
          </w:p>
        </w:tc>
        <w:tc>
          <w:tcPr>
            <w:tcW w:w="979" w:type="dxa"/>
            <w:noWrap/>
            <w:vAlign w:val="center"/>
            <w:hideMark/>
          </w:tcPr>
          <w:p w14:paraId="71D452FF" w14:textId="77777777" w:rsidR="00AF0870" w:rsidRPr="00694B06" w:rsidRDefault="00AF0870" w:rsidP="00AC0778">
            <w:pPr>
              <w:pStyle w:val="DataTable"/>
              <w:jc w:val="center"/>
              <w:rPr>
                <w:i/>
                <w:iCs/>
                <w:sz w:val="23"/>
                <w:szCs w:val="23"/>
              </w:rPr>
            </w:pPr>
            <w:r w:rsidRPr="00694B06">
              <w:rPr>
                <w:sz w:val="23"/>
                <w:szCs w:val="23"/>
              </w:rPr>
              <w:t>57.7%</w:t>
            </w:r>
          </w:p>
        </w:tc>
        <w:tc>
          <w:tcPr>
            <w:tcW w:w="1108" w:type="dxa"/>
            <w:gridSpan w:val="2"/>
            <w:noWrap/>
            <w:vAlign w:val="center"/>
            <w:hideMark/>
          </w:tcPr>
          <w:p w14:paraId="7980E483" w14:textId="77777777" w:rsidR="00AF0870" w:rsidRPr="00694B06" w:rsidRDefault="00AF0870" w:rsidP="00AC0778">
            <w:pPr>
              <w:pStyle w:val="DataTable"/>
              <w:jc w:val="center"/>
              <w:rPr>
                <w:i/>
                <w:iCs/>
                <w:sz w:val="23"/>
                <w:szCs w:val="23"/>
              </w:rPr>
            </w:pPr>
            <w:r w:rsidRPr="00694B06">
              <w:rPr>
                <w:sz w:val="23"/>
                <w:szCs w:val="23"/>
              </w:rPr>
              <w:t>71.5%</w:t>
            </w:r>
          </w:p>
        </w:tc>
        <w:tc>
          <w:tcPr>
            <w:tcW w:w="1062" w:type="dxa"/>
            <w:gridSpan w:val="2"/>
            <w:noWrap/>
            <w:vAlign w:val="center"/>
            <w:hideMark/>
          </w:tcPr>
          <w:p w14:paraId="60CB7ABC" w14:textId="77777777" w:rsidR="00AF0870" w:rsidRPr="00694B06" w:rsidRDefault="00AF0870" w:rsidP="00AC0778">
            <w:pPr>
              <w:pStyle w:val="DataTable"/>
              <w:jc w:val="center"/>
              <w:rPr>
                <w:i/>
                <w:iCs/>
                <w:sz w:val="23"/>
                <w:szCs w:val="23"/>
              </w:rPr>
            </w:pPr>
            <w:r w:rsidRPr="00694B06">
              <w:rPr>
                <w:sz w:val="23"/>
                <w:szCs w:val="23"/>
              </w:rPr>
              <w:t>74.9%</w:t>
            </w:r>
          </w:p>
        </w:tc>
      </w:tr>
      <w:tr w:rsidR="00AF0870" w:rsidRPr="00694B06" w14:paraId="40BD0AA3" w14:textId="77777777" w:rsidTr="00424BBB">
        <w:trPr>
          <w:trHeight w:val="15"/>
        </w:trPr>
        <w:tc>
          <w:tcPr>
            <w:tcW w:w="848" w:type="dxa"/>
            <w:vMerge/>
            <w:vAlign w:val="center"/>
            <w:hideMark/>
          </w:tcPr>
          <w:p w14:paraId="532A14EA" w14:textId="77777777" w:rsidR="00AF0870" w:rsidRPr="00694B06" w:rsidRDefault="00AF0870" w:rsidP="00D65653">
            <w:pPr>
              <w:pStyle w:val="DataTable"/>
              <w:rPr>
                <w:i/>
                <w:iCs/>
                <w:sz w:val="23"/>
                <w:szCs w:val="23"/>
              </w:rPr>
            </w:pPr>
          </w:p>
        </w:tc>
        <w:tc>
          <w:tcPr>
            <w:tcW w:w="2089" w:type="dxa"/>
            <w:noWrap/>
            <w:vAlign w:val="bottom"/>
            <w:hideMark/>
          </w:tcPr>
          <w:p w14:paraId="107137D7" w14:textId="77777777" w:rsidR="00AF0870" w:rsidRPr="00694B06" w:rsidRDefault="00AF0870" w:rsidP="00D65653">
            <w:pPr>
              <w:pStyle w:val="DataTable"/>
              <w:rPr>
                <w:i/>
                <w:iCs/>
                <w:sz w:val="23"/>
                <w:szCs w:val="23"/>
              </w:rPr>
            </w:pPr>
            <w:r w:rsidRPr="00694B06">
              <w:rPr>
                <w:sz w:val="23"/>
                <w:szCs w:val="23"/>
              </w:rPr>
              <w:t>Indiana Residents</w:t>
            </w:r>
          </w:p>
        </w:tc>
        <w:tc>
          <w:tcPr>
            <w:tcW w:w="972" w:type="dxa"/>
            <w:noWrap/>
            <w:vAlign w:val="bottom"/>
            <w:hideMark/>
          </w:tcPr>
          <w:p w14:paraId="6277FCFC" w14:textId="77777777" w:rsidR="00AF0870" w:rsidRPr="00694B06" w:rsidRDefault="00AF0870" w:rsidP="00AC0778">
            <w:pPr>
              <w:pStyle w:val="DataTable"/>
              <w:jc w:val="center"/>
              <w:rPr>
                <w:i/>
                <w:iCs/>
                <w:sz w:val="23"/>
                <w:szCs w:val="23"/>
              </w:rPr>
            </w:pPr>
            <w:r w:rsidRPr="00694B06">
              <w:rPr>
                <w:sz w:val="23"/>
                <w:szCs w:val="23"/>
              </w:rPr>
              <w:t>4258</w:t>
            </w:r>
          </w:p>
        </w:tc>
        <w:tc>
          <w:tcPr>
            <w:tcW w:w="1019" w:type="dxa"/>
            <w:noWrap/>
            <w:vAlign w:val="center"/>
            <w:hideMark/>
          </w:tcPr>
          <w:p w14:paraId="30312D22" w14:textId="77777777" w:rsidR="00AF0870" w:rsidRPr="00694B06" w:rsidRDefault="00AF0870" w:rsidP="00AC0778">
            <w:pPr>
              <w:pStyle w:val="DataTable"/>
              <w:jc w:val="center"/>
              <w:rPr>
                <w:i/>
                <w:iCs/>
                <w:sz w:val="23"/>
                <w:szCs w:val="23"/>
              </w:rPr>
            </w:pPr>
            <w:r w:rsidRPr="00694B06">
              <w:rPr>
                <w:sz w:val="23"/>
                <w:szCs w:val="23"/>
              </w:rPr>
              <w:t>91.0%</w:t>
            </w:r>
          </w:p>
        </w:tc>
        <w:tc>
          <w:tcPr>
            <w:tcW w:w="948" w:type="dxa"/>
            <w:noWrap/>
            <w:vAlign w:val="center"/>
            <w:hideMark/>
          </w:tcPr>
          <w:p w14:paraId="699D462B" w14:textId="77777777" w:rsidR="00AF0870" w:rsidRPr="00694B06" w:rsidRDefault="00AF0870" w:rsidP="00AC0778">
            <w:pPr>
              <w:pStyle w:val="DataTable"/>
              <w:jc w:val="center"/>
              <w:rPr>
                <w:i/>
                <w:iCs/>
                <w:sz w:val="23"/>
                <w:szCs w:val="23"/>
              </w:rPr>
            </w:pPr>
            <w:r w:rsidRPr="00694B06">
              <w:rPr>
                <w:sz w:val="23"/>
                <w:szCs w:val="23"/>
              </w:rPr>
              <w:t>87.2%</w:t>
            </w:r>
          </w:p>
        </w:tc>
        <w:tc>
          <w:tcPr>
            <w:tcW w:w="1044" w:type="dxa"/>
            <w:gridSpan w:val="2"/>
            <w:noWrap/>
            <w:vAlign w:val="center"/>
            <w:hideMark/>
          </w:tcPr>
          <w:p w14:paraId="5199D123" w14:textId="77777777" w:rsidR="00AF0870" w:rsidRPr="00694B06" w:rsidRDefault="00AF0870" w:rsidP="00AC0778">
            <w:pPr>
              <w:pStyle w:val="DataTable"/>
              <w:jc w:val="center"/>
              <w:rPr>
                <w:i/>
                <w:iCs/>
                <w:sz w:val="23"/>
                <w:szCs w:val="23"/>
              </w:rPr>
            </w:pPr>
            <w:r w:rsidRPr="00694B06">
              <w:rPr>
                <w:sz w:val="23"/>
                <w:szCs w:val="23"/>
              </w:rPr>
              <w:t>80.7%</w:t>
            </w:r>
          </w:p>
        </w:tc>
        <w:tc>
          <w:tcPr>
            <w:tcW w:w="979" w:type="dxa"/>
            <w:noWrap/>
            <w:vAlign w:val="center"/>
            <w:hideMark/>
          </w:tcPr>
          <w:p w14:paraId="14F90CAD" w14:textId="77777777" w:rsidR="00AF0870" w:rsidRPr="00694B06" w:rsidRDefault="00AF0870" w:rsidP="00AC0778">
            <w:pPr>
              <w:pStyle w:val="DataTable"/>
              <w:jc w:val="center"/>
              <w:rPr>
                <w:i/>
                <w:iCs/>
                <w:sz w:val="23"/>
                <w:szCs w:val="23"/>
              </w:rPr>
            </w:pPr>
            <w:r w:rsidRPr="00694B06">
              <w:rPr>
                <w:sz w:val="23"/>
                <w:szCs w:val="23"/>
              </w:rPr>
              <w:t>66.0%</w:t>
            </w:r>
          </w:p>
        </w:tc>
        <w:tc>
          <w:tcPr>
            <w:tcW w:w="1108" w:type="dxa"/>
            <w:gridSpan w:val="2"/>
            <w:noWrap/>
            <w:vAlign w:val="center"/>
            <w:hideMark/>
          </w:tcPr>
          <w:p w14:paraId="3167FDF9" w14:textId="77777777" w:rsidR="00AF0870" w:rsidRPr="00694B06" w:rsidRDefault="00AF0870" w:rsidP="00AC0778">
            <w:pPr>
              <w:pStyle w:val="DataTable"/>
              <w:jc w:val="center"/>
              <w:rPr>
                <w:i/>
                <w:iCs/>
                <w:sz w:val="23"/>
                <w:szCs w:val="23"/>
              </w:rPr>
            </w:pPr>
            <w:r w:rsidRPr="00694B06">
              <w:rPr>
                <w:sz w:val="23"/>
                <w:szCs w:val="23"/>
              </w:rPr>
              <w:t>79.1%</w:t>
            </w:r>
          </w:p>
        </w:tc>
        <w:tc>
          <w:tcPr>
            <w:tcW w:w="1062" w:type="dxa"/>
            <w:gridSpan w:val="2"/>
            <w:noWrap/>
            <w:vAlign w:val="center"/>
            <w:hideMark/>
          </w:tcPr>
          <w:p w14:paraId="7D870AFA" w14:textId="77777777" w:rsidR="00AF0870" w:rsidRPr="00694B06" w:rsidRDefault="00AF0870" w:rsidP="00AC0778">
            <w:pPr>
              <w:pStyle w:val="DataTable"/>
              <w:jc w:val="center"/>
              <w:rPr>
                <w:i/>
                <w:iCs/>
                <w:sz w:val="23"/>
                <w:szCs w:val="23"/>
              </w:rPr>
            </w:pPr>
            <w:r w:rsidRPr="00694B06">
              <w:rPr>
                <w:sz w:val="23"/>
                <w:szCs w:val="23"/>
              </w:rPr>
              <w:t>81.7%</w:t>
            </w:r>
          </w:p>
        </w:tc>
      </w:tr>
      <w:tr w:rsidR="00AF0870" w:rsidRPr="00694B06" w14:paraId="5274EC00" w14:textId="77777777" w:rsidTr="00424BBB">
        <w:trPr>
          <w:trHeight w:val="15"/>
        </w:trPr>
        <w:tc>
          <w:tcPr>
            <w:tcW w:w="848" w:type="dxa"/>
            <w:vMerge/>
            <w:vAlign w:val="center"/>
            <w:hideMark/>
          </w:tcPr>
          <w:p w14:paraId="2F4DE5C2" w14:textId="77777777" w:rsidR="00AF0870" w:rsidRPr="00694B06" w:rsidRDefault="00AF0870" w:rsidP="00D65653">
            <w:pPr>
              <w:pStyle w:val="DataTable"/>
              <w:rPr>
                <w:i/>
                <w:iCs/>
                <w:sz w:val="23"/>
                <w:szCs w:val="23"/>
              </w:rPr>
            </w:pPr>
          </w:p>
        </w:tc>
        <w:tc>
          <w:tcPr>
            <w:tcW w:w="2089" w:type="dxa"/>
            <w:noWrap/>
            <w:vAlign w:val="bottom"/>
            <w:hideMark/>
          </w:tcPr>
          <w:p w14:paraId="5A741572" w14:textId="77777777" w:rsidR="00AF0870" w:rsidRPr="00694B06" w:rsidRDefault="00AF0870" w:rsidP="00D65653">
            <w:pPr>
              <w:pStyle w:val="DataTable"/>
              <w:rPr>
                <w:i/>
                <w:iCs/>
                <w:sz w:val="23"/>
                <w:szCs w:val="23"/>
              </w:rPr>
            </w:pPr>
            <w:r w:rsidRPr="00694B06">
              <w:rPr>
                <w:sz w:val="23"/>
                <w:szCs w:val="23"/>
              </w:rPr>
              <w:t>University Rate</w:t>
            </w:r>
          </w:p>
        </w:tc>
        <w:tc>
          <w:tcPr>
            <w:tcW w:w="972" w:type="dxa"/>
            <w:noWrap/>
            <w:vAlign w:val="bottom"/>
            <w:hideMark/>
          </w:tcPr>
          <w:p w14:paraId="3267ABAE" w14:textId="77777777" w:rsidR="00AF0870" w:rsidRPr="00694B06" w:rsidRDefault="00AF0870" w:rsidP="00AC0778">
            <w:pPr>
              <w:pStyle w:val="DataTable"/>
              <w:jc w:val="center"/>
              <w:rPr>
                <w:i/>
                <w:iCs/>
                <w:sz w:val="23"/>
                <w:szCs w:val="23"/>
              </w:rPr>
            </w:pPr>
            <w:r w:rsidRPr="00694B06">
              <w:rPr>
                <w:sz w:val="23"/>
                <w:szCs w:val="23"/>
              </w:rPr>
              <w:t>8328</w:t>
            </w:r>
          </w:p>
        </w:tc>
        <w:tc>
          <w:tcPr>
            <w:tcW w:w="1019" w:type="dxa"/>
            <w:noWrap/>
            <w:vAlign w:val="center"/>
            <w:hideMark/>
          </w:tcPr>
          <w:p w14:paraId="4E31EFF4" w14:textId="77777777" w:rsidR="00AF0870" w:rsidRPr="00694B06" w:rsidRDefault="00AF0870" w:rsidP="00AC0778">
            <w:pPr>
              <w:pStyle w:val="DataTable"/>
              <w:jc w:val="center"/>
              <w:rPr>
                <w:i/>
                <w:iCs/>
                <w:sz w:val="23"/>
                <w:szCs w:val="23"/>
              </w:rPr>
            </w:pPr>
            <w:r w:rsidRPr="00694B06">
              <w:rPr>
                <w:sz w:val="23"/>
                <w:szCs w:val="23"/>
              </w:rPr>
              <w:t>91.6%</w:t>
            </w:r>
          </w:p>
        </w:tc>
        <w:tc>
          <w:tcPr>
            <w:tcW w:w="948" w:type="dxa"/>
            <w:noWrap/>
            <w:vAlign w:val="center"/>
            <w:hideMark/>
          </w:tcPr>
          <w:p w14:paraId="6CCF30E4" w14:textId="77777777" w:rsidR="00AF0870" w:rsidRPr="00694B06" w:rsidRDefault="00AF0870" w:rsidP="00AC0778">
            <w:pPr>
              <w:pStyle w:val="DataTable"/>
              <w:jc w:val="center"/>
              <w:rPr>
                <w:i/>
                <w:iCs/>
                <w:sz w:val="23"/>
                <w:szCs w:val="23"/>
              </w:rPr>
            </w:pPr>
            <w:r w:rsidRPr="00694B06">
              <w:rPr>
                <w:sz w:val="23"/>
                <w:szCs w:val="23"/>
              </w:rPr>
              <w:t>87.4%</w:t>
            </w:r>
          </w:p>
        </w:tc>
        <w:tc>
          <w:tcPr>
            <w:tcW w:w="1044" w:type="dxa"/>
            <w:gridSpan w:val="2"/>
            <w:noWrap/>
            <w:vAlign w:val="center"/>
            <w:hideMark/>
          </w:tcPr>
          <w:p w14:paraId="63937F15" w14:textId="77777777" w:rsidR="00AF0870" w:rsidRPr="00694B06" w:rsidRDefault="00AF0870" w:rsidP="00AC0778">
            <w:pPr>
              <w:pStyle w:val="DataTable"/>
              <w:jc w:val="center"/>
              <w:rPr>
                <w:i/>
                <w:iCs/>
                <w:sz w:val="23"/>
                <w:szCs w:val="23"/>
              </w:rPr>
            </w:pPr>
            <w:r w:rsidRPr="00694B06">
              <w:rPr>
                <w:sz w:val="23"/>
                <w:szCs w:val="23"/>
              </w:rPr>
              <w:t>82.7%</w:t>
            </w:r>
          </w:p>
        </w:tc>
        <w:tc>
          <w:tcPr>
            <w:tcW w:w="979" w:type="dxa"/>
            <w:noWrap/>
            <w:vAlign w:val="center"/>
            <w:hideMark/>
          </w:tcPr>
          <w:p w14:paraId="2C7F23F8" w14:textId="77777777" w:rsidR="00AF0870" w:rsidRPr="00694B06" w:rsidRDefault="00AF0870" w:rsidP="00AC0778">
            <w:pPr>
              <w:pStyle w:val="DataTable"/>
              <w:jc w:val="center"/>
              <w:rPr>
                <w:i/>
                <w:iCs/>
                <w:sz w:val="23"/>
                <w:szCs w:val="23"/>
              </w:rPr>
            </w:pPr>
            <w:r w:rsidRPr="00694B06">
              <w:rPr>
                <w:sz w:val="23"/>
                <w:szCs w:val="23"/>
              </w:rPr>
              <w:t>65.6%</w:t>
            </w:r>
          </w:p>
        </w:tc>
        <w:tc>
          <w:tcPr>
            <w:tcW w:w="1108" w:type="dxa"/>
            <w:gridSpan w:val="2"/>
            <w:noWrap/>
            <w:vAlign w:val="center"/>
            <w:hideMark/>
          </w:tcPr>
          <w:p w14:paraId="2493A4AE" w14:textId="77777777" w:rsidR="00AF0870" w:rsidRPr="00694B06" w:rsidRDefault="00AF0870" w:rsidP="00AC0778">
            <w:pPr>
              <w:pStyle w:val="DataTable"/>
              <w:jc w:val="center"/>
              <w:rPr>
                <w:i/>
                <w:iCs/>
                <w:sz w:val="23"/>
                <w:szCs w:val="23"/>
              </w:rPr>
            </w:pPr>
            <w:r w:rsidRPr="00694B06">
              <w:rPr>
                <w:sz w:val="23"/>
                <w:szCs w:val="23"/>
              </w:rPr>
              <w:t>80.6%</w:t>
            </w:r>
          </w:p>
        </w:tc>
        <w:tc>
          <w:tcPr>
            <w:tcW w:w="1062" w:type="dxa"/>
            <w:gridSpan w:val="2"/>
            <w:noWrap/>
            <w:vAlign w:val="center"/>
            <w:hideMark/>
          </w:tcPr>
          <w:p w14:paraId="4F217AE8" w14:textId="77777777" w:rsidR="00AF0870" w:rsidRPr="00694B06" w:rsidRDefault="00AF0870" w:rsidP="00AC0778">
            <w:pPr>
              <w:pStyle w:val="DataTable"/>
              <w:jc w:val="center"/>
              <w:rPr>
                <w:i/>
                <w:iCs/>
                <w:sz w:val="23"/>
                <w:szCs w:val="23"/>
              </w:rPr>
            </w:pPr>
            <w:r w:rsidRPr="00694B06">
              <w:rPr>
                <w:sz w:val="23"/>
                <w:szCs w:val="23"/>
              </w:rPr>
              <w:t>83.5%</w:t>
            </w:r>
          </w:p>
        </w:tc>
      </w:tr>
      <w:tr w:rsidR="00AF0870" w:rsidRPr="00694B06" w14:paraId="4162185A" w14:textId="77777777" w:rsidTr="00424BBB">
        <w:trPr>
          <w:trHeight w:val="15"/>
        </w:trPr>
        <w:tc>
          <w:tcPr>
            <w:tcW w:w="848" w:type="dxa"/>
            <w:vMerge w:val="restart"/>
            <w:shd w:val="clear" w:color="000000" w:fill="D9D9D9"/>
            <w:noWrap/>
            <w:vAlign w:val="center"/>
            <w:hideMark/>
          </w:tcPr>
          <w:p w14:paraId="6A8E8E0B" w14:textId="77777777" w:rsidR="00AF0870" w:rsidRPr="00694B06" w:rsidRDefault="00AF0870" w:rsidP="00D65653">
            <w:pPr>
              <w:pStyle w:val="DataTable"/>
              <w:rPr>
                <w:i/>
                <w:iCs/>
                <w:sz w:val="23"/>
                <w:szCs w:val="23"/>
              </w:rPr>
            </w:pPr>
            <w:r w:rsidRPr="00694B06">
              <w:rPr>
                <w:sz w:val="23"/>
                <w:szCs w:val="23"/>
              </w:rPr>
              <w:t>2019</w:t>
            </w:r>
          </w:p>
        </w:tc>
        <w:tc>
          <w:tcPr>
            <w:tcW w:w="2089" w:type="dxa"/>
            <w:shd w:val="clear" w:color="000000" w:fill="D9D9D9"/>
            <w:noWrap/>
            <w:vAlign w:val="bottom"/>
            <w:hideMark/>
          </w:tcPr>
          <w:p w14:paraId="79EC3839"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shd w:val="clear" w:color="auto" w:fill="D9D9D9" w:themeFill="background1" w:themeFillShade="D9"/>
            <w:noWrap/>
            <w:vAlign w:val="bottom"/>
            <w:hideMark/>
          </w:tcPr>
          <w:p w14:paraId="7635E90D" w14:textId="77777777" w:rsidR="00AF0870" w:rsidRPr="00694B06" w:rsidRDefault="00AF0870" w:rsidP="00AC0778">
            <w:pPr>
              <w:pStyle w:val="DataTable"/>
              <w:jc w:val="center"/>
              <w:rPr>
                <w:i/>
                <w:iCs/>
                <w:sz w:val="23"/>
                <w:szCs w:val="23"/>
              </w:rPr>
            </w:pPr>
            <w:r w:rsidRPr="00694B06">
              <w:rPr>
                <w:sz w:val="23"/>
                <w:szCs w:val="23"/>
              </w:rPr>
              <w:t>317</w:t>
            </w:r>
          </w:p>
        </w:tc>
        <w:tc>
          <w:tcPr>
            <w:tcW w:w="1019" w:type="dxa"/>
            <w:shd w:val="clear" w:color="auto" w:fill="FFF2CC" w:themeFill="accent4" w:themeFillTint="33"/>
            <w:noWrap/>
            <w:vAlign w:val="center"/>
            <w:hideMark/>
          </w:tcPr>
          <w:p w14:paraId="0D3A8BCA" w14:textId="77777777" w:rsidR="00AF0870" w:rsidRPr="00694B06" w:rsidRDefault="00AF0870" w:rsidP="00AC0778">
            <w:pPr>
              <w:pStyle w:val="DataTable"/>
              <w:jc w:val="center"/>
              <w:rPr>
                <w:i/>
                <w:iCs/>
                <w:sz w:val="23"/>
                <w:szCs w:val="23"/>
              </w:rPr>
            </w:pPr>
            <w:r w:rsidRPr="00694B06">
              <w:rPr>
                <w:sz w:val="23"/>
                <w:szCs w:val="23"/>
              </w:rPr>
              <w:t>90.9%</w:t>
            </w:r>
          </w:p>
        </w:tc>
        <w:tc>
          <w:tcPr>
            <w:tcW w:w="948" w:type="dxa"/>
            <w:shd w:val="clear" w:color="auto" w:fill="FFF2CC" w:themeFill="accent4" w:themeFillTint="33"/>
            <w:noWrap/>
            <w:vAlign w:val="center"/>
            <w:hideMark/>
          </w:tcPr>
          <w:p w14:paraId="1A1185CC" w14:textId="77777777" w:rsidR="00AF0870" w:rsidRPr="00694B06" w:rsidRDefault="00AF0870" w:rsidP="00AC0778">
            <w:pPr>
              <w:pStyle w:val="DataTable"/>
              <w:jc w:val="center"/>
              <w:rPr>
                <w:i/>
                <w:iCs/>
                <w:sz w:val="23"/>
                <w:szCs w:val="23"/>
              </w:rPr>
            </w:pPr>
            <w:r w:rsidRPr="00694B06">
              <w:rPr>
                <w:sz w:val="23"/>
                <w:szCs w:val="23"/>
              </w:rPr>
              <w:t>82.0%</w:t>
            </w:r>
          </w:p>
        </w:tc>
        <w:tc>
          <w:tcPr>
            <w:tcW w:w="1044" w:type="dxa"/>
            <w:gridSpan w:val="2"/>
            <w:shd w:val="clear" w:color="auto" w:fill="ECE3D4"/>
            <w:noWrap/>
            <w:vAlign w:val="center"/>
            <w:hideMark/>
          </w:tcPr>
          <w:p w14:paraId="2D46AC8A" w14:textId="77777777" w:rsidR="00AF0870" w:rsidRPr="00694B06" w:rsidRDefault="00AF0870" w:rsidP="00AC0778">
            <w:pPr>
              <w:pStyle w:val="DataTable"/>
              <w:jc w:val="center"/>
              <w:rPr>
                <w:i/>
                <w:iCs/>
                <w:sz w:val="23"/>
                <w:szCs w:val="23"/>
              </w:rPr>
            </w:pPr>
            <w:r w:rsidRPr="00694B06">
              <w:rPr>
                <w:sz w:val="23"/>
                <w:szCs w:val="23"/>
              </w:rPr>
              <w:t>77.0%</w:t>
            </w:r>
          </w:p>
        </w:tc>
        <w:tc>
          <w:tcPr>
            <w:tcW w:w="979" w:type="dxa"/>
            <w:shd w:val="clear" w:color="auto" w:fill="ECE3D4"/>
            <w:noWrap/>
            <w:vAlign w:val="center"/>
            <w:hideMark/>
          </w:tcPr>
          <w:p w14:paraId="0B560446" w14:textId="77777777" w:rsidR="00AF0870" w:rsidRPr="00694B06" w:rsidRDefault="00AF0870" w:rsidP="00AC0778">
            <w:pPr>
              <w:pStyle w:val="DataTable"/>
              <w:jc w:val="center"/>
              <w:rPr>
                <w:i/>
                <w:iCs/>
                <w:sz w:val="23"/>
                <w:szCs w:val="23"/>
              </w:rPr>
            </w:pPr>
            <w:r w:rsidRPr="00694B06">
              <w:rPr>
                <w:sz w:val="23"/>
                <w:szCs w:val="23"/>
              </w:rPr>
              <w:t>63.4%</w:t>
            </w:r>
          </w:p>
        </w:tc>
        <w:tc>
          <w:tcPr>
            <w:tcW w:w="1108" w:type="dxa"/>
            <w:gridSpan w:val="2"/>
            <w:shd w:val="clear" w:color="auto" w:fill="D9D9D9" w:themeFill="background1" w:themeFillShade="D9"/>
            <w:noWrap/>
            <w:vAlign w:val="center"/>
            <w:hideMark/>
          </w:tcPr>
          <w:p w14:paraId="7DEEB89C" w14:textId="77777777" w:rsidR="00AF0870" w:rsidRPr="00694B06" w:rsidRDefault="00AF0870" w:rsidP="00AC0778">
            <w:pPr>
              <w:pStyle w:val="DataTable"/>
              <w:jc w:val="center"/>
              <w:rPr>
                <w:i/>
                <w:iCs/>
                <w:sz w:val="23"/>
                <w:szCs w:val="23"/>
              </w:rPr>
            </w:pPr>
            <w:r w:rsidRPr="00694B06">
              <w:rPr>
                <w:sz w:val="23"/>
                <w:szCs w:val="23"/>
              </w:rPr>
              <w:t>72.6%</w:t>
            </w:r>
          </w:p>
        </w:tc>
        <w:tc>
          <w:tcPr>
            <w:tcW w:w="1062" w:type="dxa"/>
            <w:gridSpan w:val="2"/>
            <w:shd w:val="clear" w:color="auto" w:fill="D9D9D9" w:themeFill="background1" w:themeFillShade="D9"/>
            <w:noWrap/>
            <w:vAlign w:val="center"/>
            <w:hideMark/>
          </w:tcPr>
          <w:p w14:paraId="4A2D27F1" w14:textId="2381639A" w:rsidR="00AF0870" w:rsidRPr="00694B06" w:rsidRDefault="00AF0870" w:rsidP="00AC0778">
            <w:pPr>
              <w:pStyle w:val="DataTable"/>
              <w:jc w:val="center"/>
              <w:rPr>
                <w:i/>
                <w:iCs/>
                <w:sz w:val="23"/>
                <w:szCs w:val="23"/>
              </w:rPr>
            </w:pPr>
            <w:r w:rsidRPr="00694B06">
              <w:rPr>
                <w:sz w:val="23"/>
                <w:szCs w:val="23"/>
              </w:rPr>
              <w:t>75.1%</w:t>
            </w:r>
          </w:p>
        </w:tc>
      </w:tr>
      <w:tr w:rsidR="00AF0870" w:rsidRPr="00694B06" w14:paraId="31467803" w14:textId="77777777" w:rsidTr="00424BBB">
        <w:trPr>
          <w:trHeight w:val="15"/>
        </w:trPr>
        <w:tc>
          <w:tcPr>
            <w:tcW w:w="848" w:type="dxa"/>
            <w:vMerge/>
            <w:vAlign w:val="center"/>
            <w:hideMark/>
          </w:tcPr>
          <w:p w14:paraId="6B4CF954"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0305F40B" w14:textId="77777777" w:rsidR="00AF0870" w:rsidRPr="00694B06" w:rsidRDefault="00AF0870" w:rsidP="00D65653">
            <w:pPr>
              <w:pStyle w:val="DataTable"/>
              <w:rPr>
                <w:i/>
                <w:iCs/>
                <w:sz w:val="23"/>
                <w:szCs w:val="23"/>
              </w:rPr>
            </w:pPr>
            <w:r w:rsidRPr="00694B06">
              <w:rPr>
                <w:sz w:val="23"/>
                <w:szCs w:val="23"/>
              </w:rPr>
              <w:t>TfCS only</w:t>
            </w:r>
          </w:p>
        </w:tc>
        <w:tc>
          <w:tcPr>
            <w:tcW w:w="972" w:type="dxa"/>
            <w:shd w:val="clear" w:color="auto" w:fill="D9D9D9" w:themeFill="background1" w:themeFillShade="D9"/>
            <w:noWrap/>
            <w:vAlign w:val="bottom"/>
            <w:hideMark/>
          </w:tcPr>
          <w:p w14:paraId="16700C76" w14:textId="77777777" w:rsidR="00AF0870" w:rsidRPr="00694B06" w:rsidRDefault="00AF0870" w:rsidP="00AC0778">
            <w:pPr>
              <w:pStyle w:val="DataTable"/>
              <w:jc w:val="center"/>
              <w:rPr>
                <w:i/>
                <w:iCs/>
                <w:sz w:val="23"/>
                <w:szCs w:val="23"/>
              </w:rPr>
            </w:pPr>
            <w:r w:rsidRPr="00694B06">
              <w:rPr>
                <w:sz w:val="23"/>
                <w:szCs w:val="23"/>
              </w:rPr>
              <w:t>122</w:t>
            </w:r>
          </w:p>
        </w:tc>
        <w:tc>
          <w:tcPr>
            <w:tcW w:w="1019" w:type="dxa"/>
            <w:shd w:val="clear" w:color="auto" w:fill="D9D9D9" w:themeFill="background1" w:themeFillShade="D9"/>
            <w:noWrap/>
            <w:vAlign w:val="center"/>
            <w:hideMark/>
          </w:tcPr>
          <w:p w14:paraId="639AC2C4" w14:textId="77777777" w:rsidR="00AF0870" w:rsidRPr="00694B06" w:rsidRDefault="00AF0870" w:rsidP="00AC0778">
            <w:pPr>
              <w:pStyle w:val="DataTable"/>
              <w:jc w:val="center"/>
              <w:rPr>
                <w:i/>
                <w:iCs/>
                <w:sz w:val="23"/>
                <w:szCs w:val="23"/>
              </w:rPr>
            </w:pPr>
            <w:r w:rsidRPr="00694B06">
              <w:rPr>
                <w:sz w:val="23"/>
                <w:szCs w:val="23"/>
              </w:rPr>
              <w:t>92.6%</w:t>
            </w:r>
          </w:p>
        </w:tc>
        <w:tc>
          <w:tcPr>
            <w:tcW w:w="948" w:type="dxa"/>
            <w:shd w:val="clear" w:color="auto" w:fill="D9D9D9" w:themeFill="background1" w:themeFillShade="D9"/>
            <w:noWrap/>
            <w:vAlign w:val="center"/>
            <w:hideMark/>
          </w:tcPr>
          <w:p w14:paraId="432EB703" w14:textId="77777777" w:rsidR="00AF0870" w:rsidRPr="00694B06" w:rsidRDefault="00AF0870" w:rsidP="00AC0778">
            <w:pPr>
              <w:pStyle w:val="DataTable"/>
              <w:jc w:val="center"/>
              <w:rPr>
                <w:i/>
                <w:iCs/>
                <w:sz w:val="23"/>
                <w:szCs w:val="23"/>
              </w:rPr>
            </w:pPr>
            <w:r w:rsidRPr="00694B06">
              <w:rPr>
                <w:sz w:val="23"/>
                <w:szCs w:val="23"/>
              </w:rPr>
              <w:t>82.8%</w:t>
            </w:r>
          </w:p>
        </w:tc>
        <w:tc>
          <w:tcPr>
            <w:tcW w:w="1044" w:type="dxa"/>
            <w:gridSpan w:val="2"/>
            <w:shd w:val="clear" w:color="auto" w:fill="D9D9D9" w:themeFill="background1" w:themeFillShade="D9"/>
            <w:noWrap/>
            <w:vAlign w:val="center"/>
            <w:hideMark/>
          </w:tcPr>
          <w:p w14:paraId="722FD7D0" w14:textId="77777777" w:rsidR="00AF0870" w:rsidRPr="00694B06" w:rsidRDefault="00AF0870" w:rsidP="00AC0778">
            <w:pPr>
              <w:pStyle w:val="DataTable"/>
              <w:jc w:val="center"/>
              <w:rPr>
                <w:i/>
                <w:iCs/>
                <w:sz w:val="23"/>
                <w:szCs w:val="23"/>
              </w:rPr>
            </w:pPr>
            <w:r w:rsidRPr="00694B06">
              <w:rPr>
                <w:sz w:val="23"/>
                <w:szCs w:val="23"/>
              </w:rPr>
              <w:t>75.4%</w:t>
            </w:r>
          </w:p>
        </w:tc>
        <w:tc>
          <w:tcPr>
            <w:tcW w:w="979" w:type="dxa"/>
            <w:shd w:val="clear" w:color="auto" w:fill="D9D9D9" w:themeFill="background1" w:themeFillShade="D9"/>
            <w:noWrap/>
            <w:vAlign w:val="center"/>
            <w:hideMark/>
          </w:tcPr>
          <w:p w14:paraId="30772BB8" w14:textId="77777777" w:rsidR="00AF0870" w:rsidRPr="00694B06" w:rsidRDefault="00AF0870" w:rsidP="00AC0778">
            <w:pPr>
              <w:pStyle w:val="DataTable"/>
              <w:jc w:val="center"/>
              <w:rPr>
                <w:i/>
                <w:iCs/>
                <w:sz w:val="23"/>
                <w:szCs w:val="23"/>
              </w:rPr>
            </w:pPr>
            <w:r w:rsidRPr="00694B06">
              <w:rPr>
                <w:sz w:val="23"/>
                <w:szCs w:val="23"/>
              </w:rPr>
              <w:t>62.3%</w:t>
            </w:r>
          </w:p>
        </w:tc>
        <w:tc>
          <w:tcPr>
            <w:tcW w:w="1108" w:type="dxa"/>
            <w:gridSpan w:val="2"/>
            <w:shd w:val="clear" w:color="auto" w:fill="D9D9D9" w:themeFill="background1" w:themeFillShade="D9"/>
            <w:noWrap/>
            <w:vAlign w:val="center"/>
            <w:hideMark/>
          </w:tcPr>
          <w:p w14:paraId="66D4EDB6" w14:textId="77777777" w:rsidR="00AF0870" w:rsidRPr="00694B06" w:rsidRDefault="00AF0870" w:rsidP="00AC0778">
            <w:pPr>
              <w:pStyle w:val="DataTable"/>
              <w:jc w:val="center"/>
              <w:rPr>
                <w:i/>
                <w:iCs/>
                <w:sz w:val="23"/>
                <w:szCs w:val="23"/>
              </w:rPr>
            </w:pPr>
            <w:r w:rsidRPr="00694B06">
              <w:rPr>
                <w:sz w:val="23"/>
                <w:szCs w:val="23"/>
              </w:rPr>
              <w:t>73.0%</w:t>
            </w:r>
          </w:p>
        </w:tc>
        <w:tc>
          <w:tcPr>
            <w:tcW w:w="1062" w:type="dxa"/>
            <w:gridSpan w:val="2"/>
            <w:shd w:val="clear" w:color="auto" w:fill="D9D9D9" w:themeFill="background1" w:themeFillShade="D9"/>
            <w:noWrap/>
            <w:vAlign w:val="center"/>
            <w:hideMark/>
          </w:tcPr>
          <w:p w14:paraId="11B03DFB" w14:textId="35D6C670" w:rsidR="00AF0870" w:rsidRPr="00694B06" w:rsidRDefault="00AF0870" w:rsidP="00AC0778">
            <w:pPr>
              <w:pStyle w:val="DataTable"/>
              <w:jc w:val="center"/>
              <w:rPr>
                <w:i/>
                <w:iCs/>
                <w:sz w:val="23"/>
                <w:szCs w:val="23"/>
              </w:rPr>
            </w:pPr>
            <w:r w:rsidRPr="00694B06">
              <w:rPr>
                <w:sz w:val="23"/>
                <w:szCs w:val="23"/>
              </w:rPr>
              <w:t>79.1%</w:t>
            </w:r>
          </w:p>
        </w:tc>
      </w:tr>
      <w:tr w:rsidR="00AF0870" w:rsidRPr="00694B06" w14:paraId="7004A2F0" w14:textId="77777777" w:rsidTr="00424BBB">
        <w:trPr>
          <w:trHeight w:val="15"/>
        </w:trPr>
        <w:tc>
          <w:tcPr>
            <w:tcW w:w="848" w:type="dxa"/>
            <w:vMerge/>
            <w:vAlign w:val="center"/>
            <w:hideMark/>
          </w:tcPr>
          <w:p w14:paraId="7776DCE9"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2605BDF9" w14:textId="77777777" w:rsidR="00AF0870" w:rsidRPr="00694B06" w:rsidRDefault="00AF0870" w:rsidP="00D65653">
            <w:pPr>
              <w:pStyle w:val="DataTable"/>
              <w:rPr>
                <w:i/>
                <w:iCs/>
                <w:sz w:val="23"/>
                <w:szCs w:val="23"/>
              </w:rPr>
            </w:pPr>
            <w:r w:rsidRPr="00694B06">
              <w:rPr>
                <w:sz w:val="23"/>
                <w:szCs w:val="23"/>
              </w:rPr>
              <w:t>Pell Eligible only</w:t>
            </w:r>
          </w:p>
        </w:tc>
        <w:tc>
          <w:tcPr>
            <w:tcW w:w="972" w:type="dxa"/>
            <w:shd w:val="clear" w:color="auto" w:fill="D9D9D9" w:themeFill="background1" w:themeFillShade="D9"/>
            <w:noWrap/>
            <w:vAlign w:val="bottom"/>
            <w:hideMark/>
          </w:tcPr>
          <w:p w14:paraId="4555BF84" w14:textId="77777777" w:rsidR="00AF0870" w:rsidRPr="00694B06" w:rsidRDefault="00AF0870" w:rsidP="00AC0778">
            <w:pPr>
              <w:pStyle w:val="DataTable"/>
              <w:jc w:val="center"/>
              <w:rPr>
                <w:i/>
                <w:iCs/>
                <w:sz w:val="23"/>
                <w:szCs w:val="23"/>
              </w:rPr>
            </w:pPr>
            <w:r w:rsidRPr="00694B06">
              <w:rPr>
                <w:sz w:val="23"/>
                <w:szCs w:val="23"/>
              </w:rPr>
              <w:t>796</w:t>
            </w:r>
          </w:p>
        </w:tc>
        <w:tc>
          <w:tcPr>
            <w:tcW w:w="1019" w:type="dxa"/>
            <w:shd w:val="clear" w:color="auto" w:fill="D9D9D9" w:themeFill="background1" w:themeFillShade="D9"/>
            <w:noWrap/>
            <w:vAlign w:val="center"/>
            <w:hideMark/>
          </w:tcPr>
          <w:p w14:paraId="05A0FE6D" w14:textId="77777777" w:rsidR="00AF0870" w:rsidRPr="00694B06" w:rsidRDefault="00AF0870" w:rsidP="00AC0778">
            <w:pPr>
              <w:pStyle w:val="DataTable"/>
              <w:jc w:val="center"/>
              <w:rPr>
                <w:i/>
                <w:iCs/>
                <w:sz w:val="23"/>
                <w:szCs w:val="23"/>
              </w:rPr>
            </w:pPr>
            <w:r w:rsidRPr="00694B06">
              <w:rPr>
                <w:sz w:val="23"/>
                <w:szCs w:val="23"/>
              </w:rPr>
              <w:t>89.5%</w:t>
            </w:r>
          </w:p>
        </w:tc>
        <w:tc>
          <w:tcPr>
            <w:tcW w:w="948" w:type="dxa"/>
            <w:shd w:val="clear" w:color="auto" w:fill="D9D9D9" w:themeFill="background1" w:themeFillShade="D9"/>
            <w:noWrap/>
            <w:vAlign w:val="center"/>
            <w:hideMark/>
          </w:tcPr>
          <w:p w14:paraId="0C4D5C6A" w14:textId="77777777" w:rsidR="00AF0870" w:rsidRPr="00694B06" w:rsidRDefault="00AF0870" w:rsidP="00AC0778">
            <w:pPr>
              <w:pStyle w:val="DataTable"/>
              <w:jc w:val="center"/>
              <w:rPr>
                <w:i/>
                <w:iCs/>
                <w:sz w:val="23"/>
                <w:szCs w:val="23"/>
              </w:rPr>
            </w:pPr>
            <w:r w:rsidRPr="00694B06">
              <w:rPr>
                <w:sz w:val="23"/>
                <w:szCs w:val="23"/>
              </w:rPr>
              <w:t>81.8%</w:t>
            </w:r>
          </w:p>
        </w:tc>
        <w:tc>
          <w:tcPr>
            <w:tcW w:w="1044" w:type="dxa"/>
            <w:gridSpan w:val="2"/>
            <w:shd w:val="clear" w:color="auto" w:fill="D9D9D9" w:themeFill="background1" w:themeFillShade="D9"/>
            <w:noWrap/>
            <w:vAlign w:val="center"/>
            <w:hideMark/>
          </w:tcPr>
          <w:p w14:paraId="0EDF068F" w14:textId="77777777" w:rsidR="00AF0870" w:rsidRPr="00694B06" w:rsidRDefault="00AF0870" w:rsidP="00AC0778">
            <w:pPr>
              <w:pStyle w:val="DataTable"/>
              <w:jc w:val="center"/>
              <w:rPr>
                <w:i/>
                <w:iCs/>
                <w:sz w:val="23"/>
                <w:szCs w:val="23"/>
              </w:rPr>
            </w:pPr>
            <w:r w:rsidRPr="00694B06">
              <w:rPr>
                <w:sz w:val="23"/>
                <w:szCs w:val="23"/>
              </w:rPr>
              <w:t>75.6%</w:t>
            </w:r>
          </w:p>
        </w:tc>
        <w:tc>
          <w:tcPr>
            <w:tcW w:w="979" w:type="dxa"/>
            <w:shd w:val="clear" w:color="auto" w:fill="D9D9D9" w:themeFill="background1" w:themeFillShade="D9"/>
            <w:noWrap/>
            <w:vAlign w:val="center"/>
            <w:hideMark/>
          </w:tcPr>
          <w:p w14:paraId="1D0B4A55" w14:textId="77777777" w:rsidR="00AF0870" w:rsidRPr="00694B06" w:rsidRDefault="00AF0870" w:rsidP="00AC0778">
            <w:pPr>
              <w:pStyle w:val="DataTable"/>
              <w:jc w:val="center"/>
              <w:rPr>
                <w:i/>
                <w:iCs/>
                <w:sz w:val="23"/>
                <w:szCs w:val="23"/>
              </w:rPr>
            </w:pPr>
            <w:r w:rsidRPr="00694B06">
              <w:rPr>
                <w:sz w:val="23"/>
                <w:szCs w:val="23"/>
              </w:rPr>
              <w:t>58.5%</w:t>
            </w:r>
          </w:p>
        </w:tc>
        <w:tc>
          <w:tcPr>
            <w:tcW w:w="1108" w:type="dxa"/>
            <w:gridSpan w:val="2"/>
            <w:shd w:val="clear" w:color="auto" w:fill="D9D9D9" w:themeFill="background1" w:themeFillShade="D9"/>
            <w:noWrap/>
            <w:vAlign w:val="center"/>
            <w:hideMark/>
          </w:tcPr>
          <w:p w14:paraId="552F6310" w14:textId="77777777" w:rsidR="00AF0870" w:rsidRPr="00694B06" w:rsidRDefault="00AF0870" w:rsidP="00AC0778">
            <w:pPr>
              <w:pStyle w:val="DataTable"/>
              <w:jc w:val="center"/>
              <w:rPr>
                <w:i/>
                <w:iCs/>
                <w:sz w:val="23"/>
                <w:szCs w:val="23"/>
              </w:rPr>
            </w:pPr>
            <w:r w:rsidRPr="00694B06">
              <w:rPr>
                <w:sz w:val="23"/>
                <w:szCs w:val="23"/>
              </w:rPr>
              <w:t>73.1%</w:t>
            </w:r>
          </w:p>
        </w:tc>
        <w:tc>
          <w:tcPr>
            <w:tcW w:w="1062" w:type="dxa"/>
            <w:gridSpan w:val="2"/>
            <w:shd w:val="clear" w:color="auto" w:fill="D9D9D9" w:themeFill="background1" w:themeFillShade="D9"/>
            <w:noWrap/>
            <w:vAlign w:val="center"/>
            <w:hideMark/>
          </w:tcPr>
          <w:p w14:paraId="15F841E5" w14:textId="0B879912" w:rsidR="00AF0870" w:rsidRPr="00694B06" w:rsidRDefault="00AF0870" w:rsidP="00AC0778">
            <w:pPr>
              <w:pStyle w:val="DataTable"/>
              <w:jc w:val="center"/>
              <w:rPr>
                <w:i/>
                <w:iCs/>
                <w:sz w:val="23"/>
                <w:szCs w:val="23"/>
              </w:rPr>
            </w:pPr>
            <w:r w:rsidRPr="00694B06">
              <w:rPr>
                <w:sz w:val="23"/>
                <w:szCs w:val="23"/>
              </w:rPr>
              <w:t>76.7%</w:t>
            </w:r>
          </w:p>
        </w:tc>
      </w:tr>
      <w:tr w:rsidR="00AF0870" w:rsidRPr="00694B06" w14:paraId="677406D2" w14:textId="77777777" w:rsidTr="00424BBB">
        <w:trPr>
          <w:trHeight w:val="15"/>
        </w:trPr>
        <w:tc>
          <w:tcPr>
            <w:tcW w:w="848" w:type="dxa"/>
            <w:vMerge/>
            <w:vAlign w:val="center"/>
            <w:hideMark/>
          </w:tcPr>
          <w:p w14:paraId="7CEBCC97"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7D14C359" w14:textId="77777777" w:rsidR="00AF0870" w:rsidRPr="00694B06" w:rsidRDefault="00AF0870" w:rsidP="00D65653">
            <w:pPr>
              <w:pStyle w:val="DataTable"/>
              <w:rPr>
                <w:i/>
                <w:iCs/>
                <w:sz w:val="23"/>
                <w:szCs w:val="23"/>
              </w:rPr>
            </w:pPr>
            <w:r w:rsidRPr="00694B06">
              <w:rPr>
                <w:sz w:val="23"/>
                <w:szCs w:val="23"/>
              </w:rPr>
              <w:t>Indiana Residents</w:t>
            </w:r>
          </w:p>
        </w:tc>
        <w:tc>
          <w:tcPr>
            <w:tcW w:w="972" w:type="dxa"/>
            <w:shd w:val="clear" w:color="auto" w:fill="D9D9D9" w:themeFill="background1" w:themeFillShade="D9"/>
            <w:noWrap/>
            <w:vAlign w:val="bottom"/>
            <w:hideMark/>
          </w:tcPr>
          <w:p w14:paraId="20972F56" w14:textId="77777777" w:rsidR="00AF0870" w:rsidRPr="00694B06" w:rsidRDefault="00AF0870" w:rsidP="00AC0778">
            <w:pPr>
              <w:pStyle w:val="DataTable"/>
              <w:jc w:val="center"/>
              <w:rPr>
                <w:i/>
                <w:iCs/>
                <w:sz w:val="23"/>
                <w:szCs w:val="23"/>
              </w:rPr>
            </w:pPr>
            <w:r w:rsidRPr="00694B06">
              <w:rPr>
                <w:sz w:val="23"/>
                <w:szCs w:val="23"/>
              </w:rPr>
              <w:t>4032</w:t>
            </w:r>
          </w:p>
        </w:tc>
        <w:tc>
          <w:tcPr>
            <w:tcW w:w="1019" w:type="dxa"/>
            <w:shd w:val="clear" w:color="auto" w:fill="D9D9D9" w:themeFill="background1" w:themeFillShade="D9"/>
            <w:noWrap/>
            <w:vAlign w:val="center"/>
            <w:hideMark/>
          </w:tcPr>
          <w:p w14:paraId="62FFAF69" w14:textId="77777777" w:rsidR="00AF0870" w:rsidRPr="00694B06" w:rsidRDefault="00AF0870" w:rsidP="00AC0778">
            <w:pPr>
              <w:pStyle w:val="DataTable"/>
              <w:jc w:val="center"/>
              <w:rPr>
                <w:i/>
                <w:iCs/>
                <w:sz w:val="23"/>
                <w:szCs w:val="23"/>
              </w:rPr>
            </w:pPr>
            <w:r w:rsidRPr="00694B06">
              <w:rPr>
                <w:sz w:val="23"/>
                <w:szCs w:val="23"/>
              </w:rPr>
              <w:t>93.5%</w:t>
            </w:r>
          </w:p>
        </w:tc>
        <w:tc>
          <w:tcPr>
            <w:tcW w:w="948" w:type="dxa"/>
            <w:shd w:val="clear" w:color="auto" w:fill="D9D9D9" w:themeFill="background1" w:themeFillShade="D9"/>
            <w:noWrap/>
            <w:vAlign w:val="center"/>
            <w:hideMark/>
          </w:tcPr>
          <w:p w14:paraId="05F93FB1" w14:textId="77777777" w:rsidR="00AF0870" w:rsidRPr="00694B06" w:rsidRDefault="00AF0870" w:rsidP="00AC0778">
            <w:pPr>
              <w:pStyle w:val="DataTable"/>
              <w:jc w:val="center"/>
              <w:rPr>
                <w:i/>
                <w:iCs/>
                <w:sz w:val="23"/>
                <w:szCs w:val="23"/>
              </w:rPr>
            </w:pPr>
            <w:r w:rsidRPr="00694B06">
              <w:rPr>
                <w:sz w:val="23"/>
                <w:szCs w:val="23"/>
              </w:rPr>
              <w:t>86.9%</w:t>
            </w:r>
          </w:p>
        </w:tc>
        <w:tc>
          <w:tcPr>
            <w:tcW w:w="1044" w:type="dxa"/>
            <w:gridSpan w:val="2"/>
            <w:shd w:val="clear" w:color="auto" w:fill="D9D9D9" w:themeFill="background1" w:themeFillShade="D9"/>
            <w:noWrap/>
            <w:vAlign w:val="center"/>
            <w:hideMark/>
          </w:tcPr>
          <w:p w14:paraId="460D1608" w14:textId="77777777" w:rsidR="00AF0870" w:rsidRPr="00694B06" w:rsidRDefault="00AF0870" w:rsidP="00AC0778">
            <w:pPr>
              <w:pStyle w:val="DataTable"/>
              <w:jc w:val="center"/>
              <w:rPr>
                <w:i/>
                <w:iCs/>
                <w:sz w:val="23"/>
                <w:szCs w:val="23"/>
              </w:rPr>
            </w:pPr>
            <w:r w:rsidRPr="00694B06">
              <w:rPr>
                <w:sz w:val="23"/>
                <w:szCs w:val="23"/>
              </w:rPr>
              <w:t>80.0%</w:t>
            </w:r>
          </w:p>
        </w:tc>
        <w:tc>
          <w:tcPr>
            <w:tcW w:w="979" w:type="dxa"/>
            <w:shd w:val="clear" w:color="auto" w:fill="D9D9D9" w:themeFill="background1" w:themeFillShade="D9"/>
            <w:noWrap/>
            <w:vAlign w:val="center"/>
            <w:hideMark/>
          </w:tcPr>
          <w:p w14:paraId="7F131B9A" w14:textId="77777777" w:rsidR="00AF0870" w:rsidRPr="00694B06" w:rsidRDefault="00AF0870" w:rsidP="00AC0778">
            <w:pPr>
              <w:pStyle w:val="DataTable"/>
              <w:jc w:val="center"/>
              <w:rPr>
                <w:i/>
                <w:iCs/>
                <w:sz w:val="23"/>
                <w:szCs w:val="23"/>
              </w:rPr>
            </w:pPr>
            <w:r w:rsidRPr="00694B06">
              <w:rPr>
                <w:sz w:val="23"/>
                <w:szCs w:val="23"/>
              </w:rPr>
              <w:t>66.7%</w:t>
            </w:r>
          </w:p>
        </w:tc>
        <w:tc>
          <w:tcPr>
            <w:tcW w:w="1108" w:type="dxa"/>
            <w:gridSpan w:val="2"/>
            <w:shd w:val="clear" w:color="auto" w:fill="D9D9D9" w:themeFill="background1" w:themeFillShade="D9"/>
            <w:noWrap/>
            <w:vAlign w:val="center"/>
            <w:hideMark/>
          </w:tcPr>
          <w:p w14:paraId="1B16D5F6" w14:textId="77777777" w:rsidR="00AF0870" w:rsidRPr="00694B06" w:rsidRDefault="00AF0870" w:rsidP="00AC0778">
            <w:pPr>
              <w:pStyle w:val="DataTable"/>
              <w:jc w:val="center"/>
              <w:rPr>
                <w:i/>
                <w:iCs/>
                <w:sz w:val="23"/>
                <w:szCs w:val="23"/>
              </w:rPr>
            </w:pPr>
            <w:r w:rsidRPr="00694B06">
              <w:rPr>
                <w:sz w:val="23"/>
                <w:szCs w:val="23"/>
              </w:rPr>
              <w:t>78.9%</w:t>
            </w:r>
          </w:p>
        </w:tc>
        <w:tc>
          <w:tcPr>
            <w:tcW w:w="1062" w:type="dxa"/>
            <w:gridSpan w:val="2"/>
            <w:shd w:val="clear" w:color="auto" w:fill="D9D9D9" w:themeFill="background1" w:themeFillShade="D9"/>
            <w:noWrap/>
            <w:vAlign w:val="center"/>
            <w:hideMark/>
          </w:tcPr>
          <w:p w14:paraId="561B1150" w14:textId="6C080DF8" w:rsidR="00AF0870" w:rsidRPr="00694B06" w:rsidRDefault="00AF0870" w:rsidP="00AC0778">
            <w:pPr>
              <w:pStyle w:val="DataTable"/>
              <w:jc w:val="center"/>
              <w:rPr>
                <w:i/>
                <w:iCs/>
                <w:sz w:val="23"/>
                <w:szCs w:val="23"/>
              </w:rPr>
            </w:pPr>
            <w:r w:rsidRPr="00694B06">
              <w:rPr>
                <w:sz w:val="23"/>
                <w:szCs w:val="23"/>
              </w:rPr>
              <w:t>82.2%</w:t>
            </w:r>
          </w:p>
        </w:tc>
      </w:tr>
      <w:tr w:rsidR="00AF0870" w:rsidRPr="00694B06" w14:paraId="50FC7920" w14:textId="77777777" w:rsidTr="00424BBB">
        <w:trPr>
          <w:trHeight w:val="15"/>
        </w:trPr>
        <w:tc>
          <w:tcPr>
            <w:tcW w:w="848" w:type="dxa"/>
            <w:vMerge/>
            <w:vAlign w:val="center"/>
            <w:hideMark/>
          </w:tcPr>
          <w:p w14:paraId="6936A18B"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6FE049FA" w14:textId="77777777" w:rsidR="00AF0870" w:rsidRPr="00694B06" w:rsidRDefault="00AF0870" w:rsidP="00D65653">
            <w:pPr>
              <w:pStyle w:val="DataTable"/>
              <w:rPr>
                <w:i/>
                <w:iCs/>
                <w:sz w:val="23"/>
                <w:szCs w:val="23"/>
              </w:rPr>
            </w:pPr>
            <w:r w:rsidRPr="00694B06">
              <w:rPr>
                <w:sz w:val="23"/>
                <w:szCs w:val="23"/>
              </w:rPr>
              <w:t>University Rate</w:t>
            </w:r>
          </w:p>
        </w:tc>
        <w:tc>
          <w:tcPr>
            <w:tcW w:w="972" w:type="dxa"/>
            <w:shd w:val="clear" w:color="auto" w:fill="D9D9D9" w:themeFill="background1" w:themeFillShade="D9"/>
            <w:noWrap/>
            <w:vAlign w:val="bottom"/>
            <w:hideMark/>
          </w:tcPr>
          <w:p w14:paraId="0A82FF06" w14:textId="77777777" w:rsidR="00AF0870" w:rsidRPr="00694B06" w:rsidRDefault="00AF0870" w:rsidP="00AC0778">
            <w:pPr>
              <w:pStyle w:val="DataTable"/>
              <w:jc w:val="center"/>
              <w:rPr>
                <w:i/>
                <w:iCs/>
                <w:sz w:val="23"/>
                <w:szCs w:val="23"/>
              </w:rPr>
            </w:pPr>
            <w:r w:rsidRPr="00694B06">
              <w:rPr>
                <w:sz w:val="23"/>
                <w:szCs w:val="23"/>
              </w:rPr>
              <w:t>8011</w:t>
            </w:r>
          </w:p>
        </w:tc>
        <w:tc>
          <w:tcPr>
            <w:tcW w:w="1019" w:type="dxa"/>
            <w:shd w:val="clear" w:color="auto" w:fill="D9D9D9" w:themeFill="background1" w:themeFillShade="D9"/>
            <w:noWrap/>
            <w:vAlign w:val="center"/>
            <w:hideMark/>
          </w:tcPr>
          <w:p w14:paraId="5E7E3EC0" w14:textId="77777777" w:rsidR="00AF0870" w:rsidRPr="00694B06" w:rsidRDefault="00AF0870" w:rsidP="00AC0778">
            <w:pPr>
              <w:pStyle w:val="DataTable"/>
              <w:jc w:val="center"/>
              <w:rPr>
                <w:i/>
                <w:iCs/>
                <w:sz w:val="23"/>
                <w:szCs w:val="23"/>
              </w:rPr>
            </w:pPr>
            <w:r w:rsidRPr="00694B06">
              <w:rPr>
                <w:sz w:val="23"/>
                <w:szCs w:val="23"/>
              </w:rPr>
              <w:t>93.6%</w:t>
            </w:r>
          </w:p>
        </w:tc>
        <w:tc>
          <w:tcPr>
            <w:tcW w:w="948" w:type="dxa"/>
            <w:shd w:val="clear" w:color="auto" w:fill="D9D9D9" w:themeFill="background1" w:themeFillShade="D9"/>
            <w:noWrap/>
            <w:vAlign w:val="center"/>
            <w:hideMark/>
          </w:tcPr>
          <w:p w14:paraId="2C3A4715" w14:textId="77777777" w:rsidR="00AF0870" w:rsidRPr="00694B06" w:rsidRDefault="00AF0870" w:rsidP="00AC0778">
            <w:pPr>
              <w:pStyle w:val="DataTable"/>
              <w:jc w:val="center"/>
              <w:rPr>
                <w:i/>
                <w:iCs/>
                <w:sz w:val="23"/>
                <w:szCs w:val="23"/>
              </w:rPr>
            </w:pPr>
            <w:r w:rsidRPr="00694B06">
              <w:rPr>
                <w:sz w:val="23"/>
                <w:szCs w:val="23"/>
              </w:rPr>
              <w:t>88.0%</w:t>
            </w:r>
          </w:p>
        </w:tc>
        <w:tc>
          <w:tcPr>
            <w:tcW w:w="1044" w:type="dxa"/>
            <w:gridSpan w:val="2"/>
            <w:shd w:val="clear" w:color="auto" w:fill="D9D9D9" w:themeFill="background1" w:themeFillShade="D9"/>
            <w:noWrap/>
            <w:vAlign w:val="center"/>
            <w:hideMark/>
          </w:tcPr>
          <w:p w14:paraId="52C5C9B8" w14:textId="77777777" w:rsidR="00AF0870" w:rsidRPr="00694B06" w:rsidRDefault="00AF0870" w:rsidP="00AC0778">
            <w:pPr>
              <w:pStyle w:val="DataTable"/>
              <w:jc w:val="center"/>
              <w:rPr>
                <w:i/>
                <w:iCs/>
                <w:sz w:val="23"/>
                <w:szCs w:val="23"/>
              </w:rPr>
            </w:pPr>
            <w:r w:rsidRPr="00694B06">
              <w:rPr>
                <w:sz w:val="23"/>
                <w:szCs w:val="23"/>
              </w:rPr>
              <w:t>82.3%</w:t>
            </w:r>
          </w:p>
        </w:tc>
        <w:tc>
          <w:tcPr>
            <w:tcW w:w="979" w:type="dxa"/>
            <w:shd w:val="clear" w:color="auto" w:fill="D9D9D9" w:themeFill="background1" w:themeFillShade="D9"/>
            <w:noWrap/>
            <w:vAlign w:val="center"/>
            <w:hideMark/>
          </w:tcPr>
          <w:p w14:paraId="08D87090" w14:textId="77777777" w:rsidR="00AF0870" w:rsidRPr="00694B06" w:rsidRDefault="00AF0870" w:rsidP="00AC0778">
            <w:pPr>
              <w:pStyle w:val="DataTable"/>
              <w:jc w:val="center"/>
              <w:rPr>
                <w:i/>
                <w:iCs/>
                <w:sz w:val="23"/>
                <w:szCs w:val="23"/>
              </w:rPr>
            </w:pPr>
            <w:r w:rsidRPr="00694B06">
              <w:rPr>
                <w:sz w:val="23"/>
                <w:szCs w:val="23"/>
              </w:rPr>
              <w:t>66.6%</w:t>
            </w:r>
          </w:p>
        </w:tc>
        <w:tc>
          <w:tcPr>
            <w:tcW w:w="1108" w:type="dxa"/>
            <w:gridSpan w:val="2"/>
            <w:shd w:val="clear" w:color="auto" w:fill="D9D9D9" w:themeFill="background1" w:themeFillShade="D9"/>
            <w:noWrap/>
            <w:vAlign w:val="center"/>
            <w:hideMark/>
          </w:tcPr>
          <w:p w14:paraId="7262FA2F" w14:textId="77777777" w:rsidR="00AF0870" w:rsidRPr="00694B06" w:rsidRDefault="00AF0870" w:rsidP="00AC0778">
            <w:pPr>
              <w:pStyle w:val="DataTable"/>
              <w:jc w:val="center"/>
              <w:rPr>
                <w:i/>
                <w:iCs/>
                <w:sz w:val="23"/>
                <w:szCs w:val="23"/>
              </w:rPr>
            </w:pPr>
            <w:r w:rsidRPr="00694B06">
              <w:rPr>
                <w:sz w:val="23"/>
                <w:szCs w:val="23"/>
              </w:rPr>
              <w:t>81.1%</w:t>
            </w:r>
          </w:p>
        </w:tc>
        <w:tc>
          <w:tcPr>
            <w:tcW w:w="1062" w:type="dxa"/>
            <w:gridSpan w:val="2"/>
            <w:shd w:val="clear" w:color="auto" w:fill="D9D9D9" w:themeFill="background1" w:themeFillShade="D9"/>
            <w:noWrap/>
            <w:vAlign w:val="center"/>
            <w:hideMark/>
          </w:tcPr>
          <w:p w14:paraId="5A24CDEA" w14:textId="0C0CD969" w:rsidR="00AF0870" w:rsidRPr="00694B06" w:rsidRDefault="00AF0870" w:rsidP="00AC0778">
            <w:pPr>
              <w:pStyle w:val="DataTable"/>
              <w:jc w:val="center"/>
              <w:rPr>
                <w:i/>
                <w:iCs/>
                <w:sz w:val="23"/>
                <w:szCs w:val="23"/>
              </w:rPr>
            </w:pPr>
            <w:r w:rsidRPr="00694B06">
              <w:rPr>
                <w:sz w:val="23"/>
                <w:szCs w:val="23"/>
              </w:rPr>
              <w:t>84.6%</w:t>
            </w:r>
          </w:p>
        </w:tc>
      </w:tr>
      <w:tr w:rsidR="00AF0870" w:rsidRPr="00694B06" w14:paraId="21BD6FA0" w14:textId="77777777" w:rsidTr="00424BBB">
        <w:trPr>
          <w:trHeight w:val="15"/>
        </w:trPr>
        <w:tc>
          <w:tcPr>
            <w:tcW w:w="848" w:type="dxa"/>
            <w:vMerge w:val="restart"/>
            <w:shd w:val="clear" w:color="000000" w:fill="FFFFFF"/>
            <w:noWrap/>
            <w:vAlign w:val="center"/>
            <w:hideMark/>
          </w:tcPr>
          <w:p w14:paraId="00BFA8C8" w14:textId="77777777" w:rsidR="00AF0870" w:rsidRPr="00694B06" w:rsidRDefault="00AF0870" w:rsidP="00D65653">
            <w:pPr>
              <w:pStyle w:val="DataTable"/>
              <w:rPr>
                <w:i/>
                <w:iCs/>
                <w:sz w:val="23"/>
                <w:szCs w:val="23"/>
              </w:rPr>
            </w:pPr>
            <w:r w:rsidRPr="00694B06">
              <w:rPr>
                <w:sz w:val="23"/>
                <w:szCs w:val="23"/>
              </w:rPr>
              <w:t>2020</w:t>
            </w:r>
          </w:p>
        </w:tc>
        <w:tc>
          <w:tcPr>
            <w:tcW w:w="2089" w:type="dxa"/>
            <w:shd w:val="clear" w:color="000000" w:fill="FFFFFF"/>
            <w:noWrap/>
            <w:vAlign w:val="bottom"/>
            <w:hideMark/>
          </w:tcPr>
          <w:p w14:paraId="53BAA033"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shd w:val="clear" w:color="auto" w:fill="FFFFFF" w:themeFill="background1"/>
            <w:noWrap/>
            <w:vAlign w:val="bottom"/>
            <w:hideMark/>
          </w:tcPr>
          <w:p w14:paraId="39A0B06D" w14:textId="77777777" w:rsidR="00AF0870" w:rsidRPr="00694B06" w:rsidRDefault="00AF0870" w:rsidP="00AC0778">
            <w:pPr>
              <w:pStyle w:val="DataTable"/>
              <w:jc w:val="center"/>
              <w:rPr>
                <w:i/>
                <w:iCs/>
                <w:sz w:val="23"/>
                <w:szCs w:val="23"/>
              </w:rPr>
            </w:pPr>
            <w:r w:rsidRPr="00694B06">
              <w:rPr>
                <w:sz w:val="23"/>
                <w:szCs w:val="23"/>
              </w:rPr>
              <w:t>315</w:t>
            </w:r>
          </w:p>
        </w:tc>
        <w:tc>
          <w:tcPr>
            <w:tcW w:w="1019" w:type="dxa"/>
            <w:shd w:val="clear" w:color="auto" w:fill="ECE3D4"/>
            <w:noWrap/>
            <w:vAlign w:val="center"/>
            <w:hideMark/>
          </w:tcPr>
          <w:p w14:paraId="649D1A1D" w14:textId="77777777" w:rsidR="00AF0870" w:rsidRPr="00694B06" w:rsidRDefault="00AF0870" w:rsidP="00AC0778">
            <w:pPr>
              <w:pStyle w:val="DataTable"/>
              <w:jc w:val="center"/>
              <w:rPr>
                <w:i/>
                <w:iCs/>
                <w:sz w:val="23"/>
                <w:szCs w:val="23"/>
              </w:rPr>
            </w:pPr>
            <w:r w:rsidRPr="00694B06">
              <w:rPr>
                <w:sz w:val="23"/>
                <w:szCs w:val="23"/>
              </w:rPr>
              <w:t>87.3%</w:t>
            </w:r>
          </w:p>
        </w:tc>
        <w:tc>
          <w:tcPr>
            <w:tcW w:w="948" w:type="dxa"/>
            <w:shd w:val="clear" w:color="auto" w:fill="ECE3D4"/>
            <w:noWrap/>
            <w:vAlign w:val="center"/>
            <w:hideMark/>
          </w:tcPr>
          <w:p w14:paraId="79FFC68A" w14:textId="77777777" w:rsidR="00AF0870" w:rsidRPr="00694B06" w:rsidRDefault="00AF0870" w:rsidP="00AC0778">
            <w:pPr>
              <w:pStyle w:val="DataTable"/>
              <w:jc w:val="center"/>
              <w:rPr>
                <w:i/>
                <w:iCs/>
                <w:sz w:val="23"/>
                <w:szCs w:val="23"/>
              </w:rPr>
            </w:pPr>
            <w:r w:rsidRPr="00694B06">
              <w:rPr>
                <w:sz w:val="23"/>
                <w:szCs w:val="23"/>
              </w:rPr>
              <w:t>81.6%</w:t>
            </w:r>
          </w:p>
        </w:tc>
        <w:tc>
          <w:tcPr>
            <w:tcW w:w="1044" w:type="dxa"/>
            <w:gridSpan w:val="2"/>
            <w:shd w:val="clear" w:color="auto" w:fill="ECE3D4"/>
            <w:noWrap/>
            <w:vAlign w:val="center"/>
            <w:hideMark/>
          </w:tcPr>
          <w:p w14:paraId="64708D93" w14:textId="77777777" w:rsidR="00AF0870" w:rsidRPr="00694B06" w:rsidRDefault="00AF0870" w:rsidP="00AC0778">
            <w:pPr>
              <w:pStyle w:val="DataTable"/>
              <w:jc w:val="center"/>
              <w:rPr>
                <w:i/>
                <w:iCs/>
                <w:sz w:val="23"/>
                <w:szCs w:val="23"/>
              </w:rPr>
            </w:pPr>
            <w:r w:rsidRPr="00694B06">
              <w:rPr>
                <w:sz w:val="23"/>
                <w:szCs w:val="23"/>
              </w:rPr>
              <w:t>76.8%</w:t>
            </w:r>
          </w:p>
        </w:tc>
        <w:tc>
          <w:tcPr>
            <w:tcW w:w="979" w:type="dxa"/>
            <w:shd w:val="clear" w:color="auto" w:fill="ECE3D4"/>
            <w:noWrap/>
            <w:vAlign w:val="center"/>
            <w:hideMark/>
          </w:tcPr>
          <w:p w14:paraId="4CF41A8A" w14:textId="77777777" w:rsidR="00AF0870" w:rsidRPr="00694B06" w:rsidRDefault="00AF0870" w:rsidP="00AC0778">
            <w:pPr>
              <w:pStyle w:val="DataTable"/>
              <w:jc w:val="center"/>
              <w:rPr>
                <w:i/>
                <w:iCs/>
                <w:sz w:val="23"/>
                <w:szCs w:val="23"/>
              </w:rPr>
            </w:pPr>
            <w:r w:rsidRPr="00694B06">
              <w:rPr>
                <w:sz w:val="23"/>
                <w:szCs w:val="23"/>
              </w:rPr>
              <w:t>64.4%</w:t>
            </w:r>
          </w:p>
        </w:tc>
        <w:tc>
          <w:tcPr>
            <w:tcW w:w="1108" w:type="dxa"/>
            <w:gridSpan w:val="2"/>
            <w:noWrap/>
            <w:vAlign w:val="center"/>
            <w:hideMark/>
          </w:tcPr>
          <w:p w14:paraId="4BAB0DAD" w14:textId="63FD3D6D" w:rsidR="00AF0870" w:rsidRPr="00694B06" w:rsidRDefault="00AF0870" w:rsidP="00AC0778">
            <w:pPr>
              <w:pStyle w:val="DataTable"/>
              <w:jc w:val="center"/>
              <w:rPr>
                <w:i/>
                <w:iCs/>
                <w:sz w:val="23"/>
                <w:szCs w:val="23"/>
              </w:rPr>
            </w:pPr>
            <w:r w:rsidRPr="00694B06">
              <w:rPr>
                <w:sz w:val="23"/>
                <w:szCs w:val="23"/>
                <w:shd w:val="clear" w:color="auto" w:fill="FFFFFF" w:themeFill="background1"/>
              </w:rPr>
              <w:t>74.0%</w:t>
            </w:r>
          </w:p>
        </w:tc>
        <w:tc>
          <w:tcPr>
            <w:tcW w:w="1062" w:type="dxa"/>
            <w:gridSpan w:val="2"/>
            <w:shd w:val="clear" w:color="000000" w:fill="000000"/>
            <w:noWrap/>
            <w:vAlign w:val="center"/>
            <w:hideMark/>
          </w:tcPr>
          <w:p w14:paraId="7C38951D" w14:textId="052A65DA" w:rsidR="00AF0870" w:rsidRPr="00694B06" w:rsidRDefault="00AF0870" w:rsidP="00AC0778">
            <w:pPr>
              <w:pStyle w:val="DataTable"/>
              <w:jc w:val="center"/>
              <w:rPr>
                <w:i/>
                <w:iCs/>
                <w:sz w:val="23"/>
                <w:szCs w:val="23"/>
              </w:rPr>
            </w:pPr>
          </w:p>
        </w:tc>
      </w:tr>
      <w:tr w:rsidR="00AF0870" w:rsidRPr="00694B06" w14:paraId="6BF89042" w14:textId="77777777" w:rsidTr="00424BBB">
        <w:trPr>
          <w:trHeight w:val="15"/>
        </w:trPr>
        <w:tc>
          <w:tcPr>
            <w:tcW w:w="848" w:type="dxa"/>
            <w:vMerge/>
            <w:vAlign w:val="center"/>
            <w:hideMark/>
          </w:tcPr>
          <w:p w14:paraId="7B700ACA"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145AD408" w14:textId="77777777" w:rsidR="00AF0870" w:rsidRPr="00694B06" w:rsidRDefault="00AF0870" w:rsidP="00D65653">
            <w:pPr>
              <w:pStyle w:val="DataTable"/>
              <w:rPr>
                <w:i/>
                <w:iCs/>
                <w:sz w:val="23"/>
                <w:szCs w:val="23"/>
              </w:rPr>
            </w:pPr>
            <w:r w:rsidRPr="00694B06">
              <w:rPr>
                <w:sz w:val="23"/>
                <w:szCs w:val="23"/>
              </w:rPr>
              <w:t>TfCS only</w:t>
            </w:r>
          </w:p>
        </w:tc>
        <w:tc>
          <w:tcPr>
            <w:tcW w:w="972" w:type="dxa"/>
            <w:shd w:val="clear" w:color="auto" w:fill="FFFFFF" w:themeFill="background1"/>
            <w:noWrap/>
            <w:vAlign w:val="bottom"/>
            <w:hideMark/>
          </w:tcPr>
          <w:p w14:paraId="7B84F911" w14:textId="77777777" w:rsidR="00AF0870" w:rsidRPr="00694B06" w:rsidRDefault="00AF0870" w:rsidP="00AC0778">
            <w:pPr>
              <w:pStyle w:val="DataTable"/>
              <w:jc w:val="center"/>
              <w:rPr>
                <w:i/>
                <w:iCs/>
                <w:sz w:val="23"/>
                <w:szCs w:val="23"/>
              </w:rPr>
            </w:pPr>
            <w:r w:rsidRPr="00694B06">
              <w:rPr>
                <w:sz w:val="23"/>
                <w:szCs w:val="23"/>
              </w:rPr>
              <w:t>156</w:t>
            </w:r>
          </w:p>
        </w:tc>
        <w:tc>
          <w:tcPr>
            <w:tcW w:w="1019" w:type="dxa"/>
            <w:shd w:val="clear" w:color="auto" w:fill="FFFFFF" w:themeFill="background1"/>
            <w:noWrap/>
            <w:vAlign w:val="center"/>
            <w:hideMark/>
          </w:tcPr>
          <w:p w14:paraId="3753E9ED" w14:textId="77777777" w:rsidR="00AF0870" w:rsidRPr="00694B06" w:rsidRDefault="00AF0870" w:rsidP="00AC0778">
            <w:pPr>
              <w:pStyle w:val="DataTable"/>
              <w:jc w:val="center"/>
              <w:rPr>
                <w:i/>
                <w:iCs/>
                <w:sz w:val="23"/>
                <w:szCs w:val="23"/>
              </w:rPr>
            </w:pPr>
            <w:r w:rsidRPr="00694B06">
              <w:rPr>
                <w:sz w:val="23"/>
                <w:szCs w:val="23"/>
              </w:rPr>
              <w:t>80.1%</w:t>
            </w:r>
          </w:p>
        </w:tc>
        <w:tc>
          <w:tcPr>
            <w:tcW w:w="948" w:type="dxa"/>
            <w:shd w:val="clear" w:color="auto" w:fill="FFFFFF" w:themeFill="background1"/>
            <w:noWrap/>
            <w:vAlign w:val="center"/>
            <w:hideMark/>
          </w:tcPr>
          <w:p w14:paraId="2942008A" w14:textId="77777777" w:rsidR="00AF0870" w:rsidRPr="00694B06" w:rsidRDefault="00AF0870" w:rsidP="00AC0778">
            <w:pPr>
              <w:pStyle w:val="DataTable"/>
              <w:jc w:val="center"/>
              <w:rPr>
                <w:i/>
                <w:iCs/>
                <w:sz w:val="23"/>
                <w:szCs w:val="23"/>
              </w:rPr>
            </w:pPr>
            <w:r w:rsidRPr="00694B06">
              <w:rPr>
                <w:sz w:val="23"/>
                <w:szCs w:val="23"/>
              </w:rPr>
              <w:t>73.1%</w:t>
            </w:r>
          </w:p>
        </w:tc>
        <w:tc>
          <w:tcPr>
            <w:tcW w:w="1044" w:type="dxa"/>
            <w:gridSpan w:val="2"/>
            <w:shd w:val="clear" w:color="auto" w:fill="FFFFFF" w:themeFill="background1"/>
            <w:noWrap/>
            <w:vAlign w:val="center"/>
            <w:hideMark/>
          </w:tcPr>
          <w:p w14:paraId="641B86FF" w14:textId="77777777" w:rsidR="00AF0870" w:rsidRPr="00694B06" w:rsidRDefault="00AF0870" w:rsidP="00AC0778">
            <w:pPr>
              <w:pStyle w:val="DataTable"/>
              <w:jc w:val="center"/>
              <w:rPr>
                <w:i/>
                <w:iCs/>
                <w:sz w:val="23"/>
                <w:szCs w:val="23"/>
              </w:rPr>
            </w:pPr>
            <w:r w:rsidRPr="00694B06">
              <w:rPr>
                <w:sz w:val="23"/>
                <w:szCs w:val="23"/>
              </w:rPr>
              <w:t>68.6%</w:t>
            </w:r>
          </w:p>
        </w:tc>
        <w:tc>
          <w:tcPr>
            <w:tcW w:w="979" w:type="dxa"/>
            <w:shd w:val="clear" w:color="auto" w:fill="FFFFFF" w:themeFill="background1"/>
            <w:noWrap/>
            <w:vAlign w:val="center"/>
            <w:hideMark/>
          </w:tcPr>
          <w:p w14:paraId="0F16CED0" w14:textId="77777777" w:rsidR="00AF0870" w:rsidRPr="00694B06" w:rsidRDefault="00AF0870" w:rsidP="00AC0778">
            <w:pPr>
              <w:pStyle w:val="DataTable"/>
              <w:jc w:val="center"/>
              <w:rPr>
                <w:i/>
                <w:iCs/>
                <w:sz w:val="23"/>
                <w:szCs w:val="23"/>
              </w:rPr>
            </w:pPr>
            <w:r w:rsidRPr="00694B06">
              <w:rPr>
                <w:sz w:val="23"/>
                <w:szCs w:val="23"/>
              </w:rPr>
              <w:t>62.2%</w:t>
            </w:r>
          </w:p>
        </w:tc>
        <w:tc>
          <w:tcPr>
            <w:tcW w:w="1108" w:type="dxa"/>
            <w:gridSpan w:val="2"/>
            <w:noWrap/>
            <w:vAlign w:val="center"/>
            <w:hideMark/>
          </w:tcPr>
          <w:p w14:paraId="7908C3CC" w14:textId="46921B36" w:rsidR="00AF0870" w:rsidRPr="00694B06" w:rsidRDefault="00AF0870" w:rsidP="00AC0778">
            <w:pPr>
              <w:pStyle w:val="DataTable"/>
              <w:jc w:val="center"/>
              <w:rPr>
                <w:i/>
                <w:iCs/>
                <w:sz w:val="23"/>
                <w:szCs w:val="23"/>
              </w:rPr>
            </w:pPr>
            <w:r w:rsidRPr="00694B06">
              <w:rPr>
                <w:sz w:val="23"/>
                <w:szCs w:val="23"/>
              </w:rPr>
              <w:t>69.2%</w:t>
            </w:r>
          </w:p>
        </w:tc>
        <w:tc>
          <w:tcPr>
            <w:tcW w:w="1062" w:type="dxa"/>
            <w:gridSpan w:val="2"/>
            <w:shd w:val="clear" w:color="000000" w:fill="000000"/>
            <w:noWrap/>
            <w:vAlign w:val="center"/>
            <w:hideMark/>
          </w:tcPr>
          <w:p w14:paraId="604C58D3" w14:textId="6E2AB73D" w:rsidR="00AF0870" w:rsidRPr="00694B06" w:rsidRDefault="00AF0870" w:rsidP="00AC0778">
            <w:pPr>
              <w:pStyle w:val="DataTable"/>
              <w:jc w:val="center"/>
              <w:rPr>
                <w:i/>
                <w:iCs/>
                <w:sz w:val="23"/>
                <w:szCs w:val="23"/>
              </w:rPr>
            </w:pPr>
          </w:p>
        </w:tc>
      </w:tr>
      <w:tr w:rsidR="00AF0870" w:rsidRPr="00694B06" w14:paraId="72E63EB7" w14:textId="77777777" w:rsidTr="00424BBB">
        <w:trPr>
          <w:trHeight w:val="15"/>
        </w:trPr>
        <w:tc>
          <w:tcPr>
            <w:tcW w:w="848" w:type="dxa"/>
            <w:vMerge/>
            <w:vAlign w:val="center"/>
            <w:hideMark/>
          </w:tcPr>
          <w:p w14:paraId="39C32C9D"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0F934799" w14:textId="77777777" w:rsidR="00AF0870" w:rsidRPr="00694B06" w:rsidRDefault="00AF0870" w:rsidP="00D65653">
            <w:pPr>
              <w:pStyle w:val="DataTable"/>
              <w:rPr>
                <w:i/>
                <w:iCs/>
                <w:sz w:val="23"/>
                <w:szCs w:val="23"/>
              </w:rPr>
            </w:pPr>
            <w:r w:rsidRPr="00694B06">
              <w:rPr>
                <w:sz w:val="23"/>
                <w:szCs w:val="23"/>
              </w:rPr>
              <w:t>Pell Eligible only</w:t>
            </w:r>
          </w:p>
        </w:tc>
        <w:tc>
          <w:tcPr>
            <w:tcW w:w="972" w:type="dxa"/>
            <w:shd w:val="clear" w:color="auto" w:fill="FFFFFF" w:themeFill="background1"/>
            <w:noWrap/>
            <w:vAlign w:val="bottom"/>
            <w:hideMark/>
          </w:tcPr>
          <w:p w14:paraId="202E73C7" w14:textId="77777777" w:rsidR="00AF0870" w:rsidRPr="00694B06" w:rsidRDefault="00AF0870" w:rsidP="00AC0778">
            <w:pPr>
              <w:pStyle w:val="DataTable"/>
              <w:jc w:val="center"/>
              <w:rPr>
                <w:i/>
                <w:iCs/>
                <w:sz w:val="23"/>
                <w:szCs w:val="23"/>
              </w:rPr>
            </w:pPr>
            <w:r w:rsidRPr="00694B06">
              <w:rPr>
                <w:sz w:val="23"/>
                <w:szCs w:val="23"/>
              </w:rPr>
              <w:t>859</w:t>
            </w:r>
          </w:p>
        </w:tc>
        <w:tc>
          <w:tcPr>
            <w:tcW w:w="1019" w:type="dxa"/>
            <w:shd w:val="clear" w:color="auto" w:fill="FFFFFF" w:themeFill="background1"/>
            <w:noWrap/>
            <w:vAlign w:val="center"/>
            <w:hideMark/>
          </w:tcPr>
          <w:p w14:paraId="311C5FCD" w14:textId="77777777" w:rsidR="00AF0870" w:rsidRPr="00694B06" w:rsidRDefault="00AF0870" w:rsidP="00AC0778">
            <w:pPr>
              <w:pStyle w:val="DataTable"/>
              <w:jc w:val="center"/>
              <w:rPr>
                <w:i/>
                <w:iCs/>
                <w:sz w:val="23"/>
                <w:szCs w:val="23"/>
              </w:rPr>
            </w:pPr>
            <w:r w:rsidRPr="00694B06">
              <w:rPr>
                <w:sz w:val="23"/>
                <w:szCs w:val="23"/>
              </w:rPr>
              <w:t>86.2%</w:t>
            </w:r>
          </w:p>
        </w:tc>
        <w:tc>
          <w:tcPr>
            <w:tcW w:w="948" w:type="dxa"/>
            <w:shd w:val="clear" w:color="auto" w:fill="FFFFFF" w:themeFill="background1"/>
            <w:noWrap/>
            <w:vAlign w:val="center"/>
            <w:hideMark/>
          </w:tcPr>
          <w:p w14:paraId="28941264" w14:textId="77777777" w:rsidR="00AF0870" w:rsidRPr="00694B06" w:rsidRDefault="00AF0870" w:rsidP="00AC0778">
            <w:pPr>
              <w:pStyle w:val="DataTable"/>
              <w:jc w:val="center"/>
              <w:rPr>
                <w:i/>
                <w:iCs/>
                <w:sz w:val="23"/>
                <w:szCs w:val="23"/>
              </w:rPr>
            </w:pPr>
            <w:r w:rsidRPr="00694B06">
              <w:rPr>
                <w:sz w:val="23"/>
                <w:szCs w:val="23"/>
              </w:rPr>
              <w:t>79.2%</w:t>
            </w:r>
          </w:p>
        </w:tc>
        <w:tc>
          <w:tcPr>
            <w:tcW w:w="1044" w:type="dxa"/>
            <w:gridSpan w:val="2"/>
            <w:shd w:val="clear" w:color="auto" w:fill="FFFFFF" w:themeFill="background1"/>
            <w:noWrap/>
            <w:vAlign w:val="center"/>
            <w:hideMark/>
          </w:tcPr>
          <w:p w14:paraId="539254C7" w14:textId="77777777" w:rsidR="00AF0870" w:rsidRPr="00694B06" w:rsidRDefault="00AF0870" w:rsidP="00AC0778">
            <w:pPr>
              <w:pStyle w:val="DataTable"/>
              <w:jc w:val="center"/>
              <w:rPr>
                <w:i/>
                <w:iCs/>
                <w:sz w:val="23"/>
                <w:szCs w:val="23"/>
              </w:rPr>
            </w:pPr>
            <w:r w:rsidRPr="00694B06">
              <w:rPr>
                <w:sz w:val="23"/>
                <w:szCs w:val="23"/>
              </w:rPr>
              <w:t>72.8%</w:t>
            </w:r>
          </w:p>
        </w:tc>
        <w:tc>
          <w:tcPr>
            <w:tcW w:w="979" w:type="dxa"/>
            <w:shd w:val="clear" w:color="auto" w:fill="FFFFFF" w:themeFill="background1"/>
            <w:noWrap/>
            <w:vAlign w:val="center"/>
            <w:hideMark/>
          </w:tcPr>
          <w:p w14:paraId="2FCB36F4" w14:textId="77777777" w:rsidR="00AF0870" w:rsidRPr="00694B06" w:rsidRDefault="00AF0870" w:rsidP="00AC0778">
            <w:pPr>
              <w:pStyle w:val="DataTable"/>
              <w:jc w:val="center"/>
              <w:rPr>
                <w:i/>
                <w:iCs/>
                <w:sz w:val="23"/>
                <w:szCs w:val="23"/>
              </w:rPr>
            </w:pPr>
            <w:r w:rsidRPr="00694B06">
              <w:rPr>
                <w:sz w:val="23"/>
                <w:szCs w:val="23"/>
              </w:rPr>
              <w:t>59.3%</w:t>
            </w:r>
          </w:p>
        </w:tc>
        <w:tc>
          <w:tcPr>
            <w:tcW w:w="1108" w:type="dxa"/>
            <w:gridSpan w:val="2"/>
            <w:noWrap/>
            <w:vAlign w:val="center"/>
            <w:hideMark/>
          </w:tcPr>
          <w:p w14:paraId="2207EE42" w14:textId="77C48A14" w:rsidR="00AF0870" w:rsidRPr="00694B06" w:rsidRDefault="00AF0870" w:rsidP="00AC0778">
            <w:pPr>
              <w:pStyle w:val="DataTable"/>
              <w:jc w:val="center"/>
              <w:rPr>
                <w:i/>
                <w:iCs/>
                <w:sz w:val="23"/>
                <w:szCs w:val="23"/>
              </w:rPr>
            </w:pPr>
            <w:r w:rsidRPr="00694B06">
              <w:rPr>
                <w:sz w:val="23"/>
                <w:szCs w:val="23"/>
              </w:rPr>
              <w:t>71.6%</w:t>
            </w:r>
          </w:p>
        </w:tc>
        <w:tc>
          <w:tcPr>
            <w:tcW w:w="1062" w:type="dxa"/>
            <w:gridSpan w:val="2"/>
            <w:shd w:val="clear" w:color="000000" w:fill="000000"/>
            <w:noWrap/>
            <w:vAlign w:val="center"/>
            <w:hideMark/>
          </w:tcPr>
          <w:p w14:paraId="254C159F" w14:textId="49F22943" w:rsidR="00AF0870" w:rsidRPr="00694B06" w:rsidRDefault="00AF0870" w:rsidP="00AC0778">
            <w:pPr>
              <w:pStyle w:val="DataTable"/>
              <w:jc w:val="center"/>
              <w:rPr>
                <w:i/>
                <w:iCs/>
                <w:sz w:val="23"/>
                <w:szCs w:val="23"/>
              </w:rPr>
            </w:pPr>
          </w:p>
        </w:tc>
      </w:tr>
      <w:tr w:rsidR="00AF0870" w:rsidRPr="00694B06" w14:paraId="18A61C80" w14:textId="77777777" w:rsidTr="00424BBB">
        <w:trPr>
          <w:trHeight w:val="15"/>
        </w:trPr>
        <w:tc>
          <w:tcPr>
            <w:tcW w:w="848" w:type="dxa"/>
            <w:vMerge/>
            <w:vAlign w:val="center"/>
            <w:hideMark/>
          </w:tcPr>
          <w:p w14:paraId="0600D70A"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6946451D" w14:textId="77777777" w:rsidR="00AF0870" w:rsidRPr="00694B06" w:rsidRDefault="00AF0870" w:rsidP="00D65653">
            <w:pPr>
              <w:pStyle w:val="DataTable"/>
              <w:rPr>
                <w:i/>
                <w:iCs/>
                <w:sz w:val="23"/>
                <w:szCs w:val="23"/>
              </w:rPr>
            </w:pPr>
            <w:r w:rsidRPr="00694B06">
              <w:rPr>
                <w:sz w:val="23"/>
                <w:szCs w:val="23"/>
              </w:rPr>
              <w:t>Indiana Residents</w:t>
            </w:r>
          </w:p>
        </w:tc>
        <w:tc>
          <w:tcPr>
            <w:tcW w:w="972" w:type="dxa"/>
            <w:shd w:val="clear" w:color="auto" w:fill="FFFFFF" w:themeFill="background1"/>
            <w:noWrap/>
            <w:vAlign w:val="bottom"/>
            <w:hideMark/>
          </w:tcPr>
          <w:p w14:paraId="47D6695D" w14:textId="77777777" w:rsidR="00AF0870" w:rsidRPr="00694B06" w:rsidRDefault="00AF0870" w:rsidP="00AC0778">
            <w:pPr>
              <w:pStyle w:val="DataTable"/>
              <w:jc w:val="center"/>
              <w:rPr>
                <w:i/>
                <w:iCs/>
                <w:sz w:val="23"/>
                <w:szCs w:val="23"/>
              </w:rPr>
            </w:pPr>
            <w:r w:rsidRPr="00694B06">
              <w:rPr>
                <w:sz w:val="23"/>
                <w:szCs w:val="23"/>
              </w:rPr>
              <w:t>4315</w:t>
            </w:r>
          </w:p>
        </w:tc>
        <w:tc>
          <w:tcPr>
            <w:tcW w:w="1019" w:type="dxa"/>
            <w:shd w:val="clear" w:color="auto" w:fill="FFFFFF" w:themeFill="background1"/>
            <w:noWrap/>
            <w:vAlign w:val="center"/>
            <w:hideMark/>
          </w:tcPr>
          <w:p w14:paraId="0794E9FB" w14:textId="77777777" w:rsidR="00AF0870" w:rsidRPr="00694B06" w:rsidRDefault="00AF0870" w:rsidP="00AC0778">
            <w:pPr>
              <w:pStyle w:val="DataTable"/>
              <w:jc w:val="center"/>
              <w:rPr>
                <w:i/>
                <w:iCs/>
                <w:sz w:val="23"/>
                <w:szCs w:val="23"/>
              </w:rPr>
            </w:pPr>
            <w:r w:rsidRPr="00694B06">
              <w:rPr>
                <w:sz w:val="23"/>
                <w:szCs w:val="23"/>
              </w:rPr>
              <w:t>90.7%</w:t>
            </w:r>
          </w:p>
        </w:tc>
        <w:tc>
          <w:tcPr>
            <w:tcW w:w="948" w:type="dxa"/>
            <w:shd w:val="clear" w:color="auto" w:fill="FFFFFF" w:themeFill="background1"/>
            <w:noWrap/>
            <w:vAlign w:val="center"/>
            <w:hideMark/>
          </w:tcPr>
          <w:p w14:paraId="76E109D0" w14:textId="77777777" w:rsidR="00AF0870" w:rsidRPr="00694B06" w:rsidRDefault="00AF0870" w:rsidP="00AC0778">
            <w:pPr>
              <w:pStyle w:val="DataTable"/>
              <w:jc w:val="center"/>
              <w:rPr>
                <w:i/>
                <w:iCs/>
                <w:sz w:val="23"/>
                <w:szCs w:val="23"/>
              </w:rPr>
            </w:pPr>
            <w:r w:rsidRPr="00694B06">
              <w:rPr>
                <w:sz w:val="23"/>
                <w:szCs w:val="23"/>
              </w:rPr>
              <w:t>85.7%</w:t>
            </w:r>
          </w:p>
        </w:tc>
        <w:tc>
          <w:tcPr>
            <w:tcW w:w="1044" w:type="dxa"/>
            <w:gridSpan w:val="2"/>
            <w:shd w:val="clear" w:color="auto" w:fill="FFFFFF" w:themeFill="background1"/>
            <w:noWrap/>
            <w:vAlign w:val="center"/>
            <w:hideMark/>
          </w:tcPr>
          <w:p w14:paraId="32426347" w14:textId="77777777" w:rsidR="00AF0870" w:rsidRPr="00694B06" w:rsidRDefault="00AF0870" w:rsidP="00AC0778">
            <w:pPr>
              <w:pStyle w:val="DataTable"/>
              <w:jc w:val="center"/>
              <w:rPr>
                <w:i/>
                <w:iCs/>
                <w:sz w:val="23"/>
                <w:szCs w:val="23"/>
              </w:rPr>
            </w:pPr>
            <w:r w:rsidRPr="00694B06">
              <w:rPr>
                <w:sz w:val="23"/>
                <w:szCs w:val="23"/>
              </w:rPr>
              <w:t>79.5%</w:t>
            </w:r>
          </w:p>
        </w:tc>
        <w:tc>
          <w:tcPr>
            <w:tcW w:w="979" w:type="dxa"/>
            <w:shd w:val="clear" w:color="auto" w:fill="FFFFFF" w:themeFill="background1"/>
            <w:noWrap/>
            <w:vAlign w:val="center"/>
            <w:hideMark/>
          </w:tcPr>
          <w:p w14:paraId="37E7783B" w14:textId="77777777" w:rsidR="00AF0870" w:rsidRPr="00694B06" w:rsidRDefault="00AF0870" w:rsidP="00AC0778">
            <w:pPr>
              <w:pStyle w:val="DataTable"/>
              <w:jc w:val="center"/>
              <w:rPr>
                <w:i/>
                <w:iCs/>
                <w:sz w:val="23"/>
                <w:szCs w:val="23"/>
              </w:rPr>
            </w:pPr>
            <w:r w:rsidRPr="00694B06">
              <w:rPr>
                <w:sz w:val="23"/>
                <w:szCs w:val="23"/>
              </w:rPr>
              <w:t>67.8%</w:t>
            </w:r>
          </w:p>
        </w:tc>
        <w:tc>
          <w:tcPr>
            <w:tcW w:w="1108" w:type="dxa"/>
            <w:gridSpan w:val="2"/>
            <w:noWrap/>
            <w:vAlign w:val="center"/>
            <w:hideMark/>
          </w:tcPr>
          <w:p w14:paraId="45FC3651" w14:textId="6A25BCE3" w:rsidR="00AF0870" w:rsidRPr="00694B06" w:rsidRDefault="00AF0870" w:rsidP="00AC0778">
            <w:pPr>
              <w:pStyle w:val="DataTable"/>
              <w:jc w:val="center"/>
              <w:rPr>
                <w:i/>
                <w:iCs/>
                <w:sz w:val="23"/>
                <w:szCs w:val="23"/>
              </w:rPr>
            </w:pPr>
            <w:r w:rsidRPr="00694B06">
              <w:rPr>
                <w:sz w:val="23"/>
                <w:szCs w:val="23"/>
              </w:rPr>
              <w:t>79.1%</w:t>
            </w:r>
          </w:p>
        </w:tc>
        <w:tc>
          <w:tcPr>
            <w:tcW w:w="1062" w:type="dxa"/>
            <w:gridSpan w:val="2"/>
            <w:shd w:val="clear" w:color="000000" w:fill="000000"/>
            <w:noWrap/>
            <w:vAlign w:val="center"/>
            <w:hideMark/>
          </w:tcPr>
          <w:p w14:paraId="77BC94D1" w14:textId="44CC5098" w:rsidR="00AF0870" w:rsidRPr="00694B06" w:rsidRDefault="00AF0870" w:rsidP="00AC0778">
            <w:pPr>
              <w:pStyle w:val="DataTable"/>
              <w:jc w:val="center"/>
              <w:rPr>
                <w:i/>
                <w:iCs/>
                <w:sz w:val="23"/>
                <w:szCs w:val="23"/>
              </w:rPr>
            </w:pPr>
          </w:p>
        </w:tc>
      </w:tr>
      <w:tr w:rsidR="00AF0870" w:rsidRPr="00694B06" w14:paraId="5E683EE4" w14:textId="77777777" w:rsidTr="00424BBB">
        <w:trPr>
          <w:trHeight w:val="15"/>
        </w:trPr>
        <w:tc>
          <w:tcPr>
            <w:tcW w:w="848" w:type="dxa"/>
            <w:vMerge/>
            <w:vAlign w:val="center"/>
            <w:hideMark/>
          </w:tcPr>
          <w:p w14:paraId="37A016AB"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1392727E" w14:textId="77777777" w:rsidR="00AF0870" w:rsidRPr="00694B06" w:rsidRDefault="00AF0870" w:rsidP="00D65653">
            <w:pPr>
              <w:pStyle w:val="DataTable"/>
              <w:rPr>
                <w:i/>
                <w:iCs/>
                <w:sz w:val="23"/>
                <w:szCs w:val="23"/>
              </w:rPr>
            </w:pPr>
            <w:r w:rsidRPr="00694B06">
              <w:rPr>
                <w:sz w:val="23"/>
                <w:szCs w:val="23"/>
              </w:rPr>
              <w:t>University Rate</w:t>
            </w:r>
          </w:p>
        </w:tc>
        <w:tc>
          <w:tcPr>
            <w:tcW w:w="972" w:type="dxa"/>
            <w:shd w:val="clear" w:color="auto" w:fill="FFFFFF" w:themeFill="background1"/>
            <w:noWrap/>
            <w:vAlign w:val="bottom"/>
            <w:hideMark/>
          </w:tcPr>
          <w:p w14:paraId="743F137A" w14:textId="77777777" w:rsidR="00AF0870" w:rsidRPr="00694B06" w:rsidRDefault="00AF0870" w:rsidP="00AC0778">
            <w:pPr>
              <w:pStyle w:val="DataTable"/>
              <w:jc w:val="center"/>
              <w:rPr>
                <w:i/>
                <w:iCs/>
                <w:sz w:val="23"/>
                <w:szCs w:val="23"/>
              </w:rPr>
            </w:pPr>
            <w:r w:rsidRPr="00694B06">
              <w:rPr>
                <w:sz w:val="23"/>
                <w:szCs w:val="23"/>
              </w:rPr>
              <w:t>8778</w:t>
            </w:r>
          </w:p>
        </w:tc>
        <w:tc>
          <w:tcPr>
            <w:tcW w:w="1019" w:type="dxa"/>
            <w:shd w:val="clear" w:color="auto" w:fill="FFFFFF" w:themeFill="background1"/>
            <w:noWrap/>
            <w:vAlign w:val="center"/>
            <w:hideMark/>
          </w:tcPr>
          <w:p w14:paraId="32DB2901" w14:textId="77777777" w:rsidR="00AF0870" w:rsidRPr="00694B06" w:rsidRDefault="00AF0870" w:rsidP="00AC0778">
            <w:pPr>
              <w:pStyle w:val="DataTable"/>
              <w:jc w:val="center"/>
              <w:rPr>
                <w:i/>
                <w:iCs/>
                <w:sz w:val="23"/>
                <w:szCs w:val="23"/>
              </w:rPr>
            </w:pPr>
            <w:r w:rsidRPr="00694B06">
              <w:rPr>
                <w:sz w:val="23"/>
                <w:szCs w:val="23"/>
              </w:rPr>
              <w:t>91.6%</w:t>
            </w:r>
          </w:p>
        </w:tc>
        <w:tc>
          <w:tcPr>
            <w:tcW w:w="948" w:type="dxa"/>
            <w:shd w:val="clear" w:color="auto" w:fill="FFFFFF" w:themeFill="background1"/>
            <w:noWrap/>
            <w:vAlign w:val="center"/>
            <w:hideMark/>
          </w:tcPr>
          <w:p w14:paraId="1CC0E49B" w14:textId="77777777" w:rsidR="00AF0870" w:rsidRPr="00694B06" w:rsidRDefault="00AF0870" w:rsidP="00AC0778">
            <w:pPr>
              <w:pStyle w:val="DataTable"/>
              <w:jc w:val="center"/>
              <w:rPr>
                <w:i/>
                <w:iCs/>
                <w:sz w:val="23"/>
                <w:szCs w:val="23"/>
              </w:rPr>
            </w:pPr>
            <w:r w:rsidRPr="00694B06">
              <w:rPr>
                <w:sz w:val="23"/>
                <w:szCs w:val="23"/>
              </w:rPr>
              <w:t>87.0%</w:t>
            </w:r>
          </w:p>
        </w:tc>
        <w:tc>
          <w:tcPr>
            <w:tcW w:w="1044" w:type="dxa"/>
            <w:gridSpan w:val="2"/>
            <w:shd w:val="clear" w:color="auto" w:fill="FFFFFF" w:themeFill="background1"/>
            <w:noWrap/>
            <w:vAlign w:val="center"/>
            <w:hideMark/>
          </w:tcPr>
          <w:p w14:paraId="2F0ECE99" w14:textId="77777777" w:rsidR="00AF0870" w:rsidRPr="00694B06" w:rsidRDefault="00AF0870" w:rsidP="00AC0778">
            <w:pPr>
              <w:pStyle w:val="DataTable"/>
              <w:jc w:val="center"/>
              <w:rPr>
                <w:i/>
                <w:iCs/>
                <w:sz w:val="23"/>
                <w:szCs w:val="23"/>
              </w:rPr>
            </w:pPr>
            <w:r w:rsidRPr="00694B06">
              <w:rPr>
                <w:sz w:val="23"/>
                <w:szCs w:val="23"/>
              </w:rPr>
              <w:t>81.6%</w:t>
            </w:r>
          </w:p>
        </w:tc>
        <w:tc>
          <w:tcPr>
            <w:tcW w:w="979" w:type="dxa"/>
            <w:shd w:val="clear" w:color="auto" w:fill="FFFFFF" w:themeFill="background1"/>
            <w:noWrap/>
            <w:vAlign w:val="center"/>
            <w:hideMark/>
          </w:tcPr>
          <w:p w14:paraId="66189793" w14:textId="77777777" w:rsidR="00AF0870" w:rsidRPr="00694B06" w:rsidRDefault="00AF0870" w:rsidP="00AC0778">
            <w:pPr>
              <w:pStyle w:val="DataTable"/>
              <w:jc w:val="center"/>
              <w:rPr>
                <w:i/>
                <w:iCs/>
                <w:sz w:val="23"/>
                <w:szCs w:val="23"/>
              </w:rPr>
            </w:pPr>
            <w:r w:rsidRPr="00694B06">
              <w:rPr>
                <w:sz w:val="23"/>
                <w:szCs w:val="23"/>
              </w:rPr>
              <w:t>67.2%</w:t>
            </w:r>
          </w:p>
        </w:tc>
        <w:tc>
          <w:tcPr>
            <w:tcW w:w="1108" w:type="dxa"/>
            <w:gridSpan w:val="2"/>
            <w:noWrap/>
            <w:vAlign w:val="center"/>
            <w:hideMark/>
          </w:tcPr>
          <w:p w14:paraId="587BD3FE" w14:textId="6D3CA1EB" w:rsidR="00AF0870" w:rsidRPr="00694B06" w:rsidRDefault="00AF0870" w:rsidP="00AC0778">
            <w:pPr>
              <w:pStyle w:val="DataTable"/>
              <w:jc w:val="center"/>
              <w:rPr>
                <w:i/>
                <w:iCs/>
                <w:sz w:val="23"/>
                <w:szCs w:val="23"/>
              </w:rPr>
            </w:pPr>
            <w:r w:rsidRPr="00694B06">
              <w:rPr>
                <w:sz w:val="23"/>
                <w:szCs w:val="23"/>
              </w:rPr>
              <w:t>80.6%</w:t>
            </w:r>
          </w:p>
        </w:tc>
        <w:tc>
          <w:tcPr>
            <w:tcW w:w="1062" w:type="dxa"/>
            <w:gridSpan w:val="2"/>
            <w:shd w:val="clear" w:color="000000" w:fill="000000"/>
            <w:noWrap/>
            <w:vAlign w:val="center"/>
            <w:hideMark/>
          </w:tcPr>
          <w:p w14:paraId="21809F33" w14:textId="4A1CB83F" w:rsidR="00AF0870" w:rsidRPr="00694B06" w:rsidRDefault="00AF0870" w:rsidP="00AC0778">
            <w:pPr>
              <w:pStyle w:val="DataTable"/>
              <w:jc w:val="center"/>
              <w:rPr>
                <w:i/>
                <w:iCs/>
                <w:sz w:val="23"/>
                <w:szCs w:val="23"/>
              </w:rPr>
            </w:pPr>
          </w:p>
        </w:tc>
      </w:tr>
      <w:tr w:rsidR="00AF0870" w:rsidRPr="00694B06" w14:paraId="17113860" w14:textId="77777777" w:rsidTr="00424BBB">
        <w:trPr>
          <w:trHeight w:val="15"/>
        </w:trPr>
        <w:tc>
          <w:tcPr>
            <w:tcW w:w="848" w:type="dxa"/>
            <w:vMerge w:val="restart"/>
            <w:shd w:val="clear" w:color="000000" w:fill="D9D9D9"/>
            <w:noWrap/>
            <w:vAlign w:val="center"/>
            <w:hideMark/>
          </w:tcPr>
          <w:p w14:paraId="6041A916" w14:textId="77777777" w:rsidR="00AF0870" w:rsidRPr="00694B06" w:rsidRDefault="00AF0870" w:rsidP="00D65653">
            <w:pPr>
              <w:pStyle w:val="DataTable"/>
              <w:rPr>
                <w:i/>
                <w:iCs/>
                <w:sz w:val="23"/>
                <w:szCs w:val="23"/>
              </w:rPr>
            </w:pPr>
            <w:r w:rsidRPr="00694B06">
              <w:rPr>
                <w:sz w:val="23"/>
                <w:szCs w:val="23"/>
              </w:rPr>
              <w:t>2021</w:t>
            </w:r>
          </w:p>
        </w:tc>
        <w:tc>
          <w:tcPr>
            <w:tcW w:w="2089" w:type="dxa"/>
            <w:shd w:val="clear" w:color="000000" w:fill="D9D9D9"/>
            <w:noWrap/>
            <w:vAlign w:val="bottom"/>
            <w:hideMark/>
          </w:tcPr>
          <w:p w14:paraId="52009F49"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shd w:val="clear" w:color="auto" w:fill="D9D9D9" w:themeFill="background1" w:themeFillShade="D9"/>
            <w:noWrap/>
            <w:vAlign w:val="bottom"/>
            <w:hideMark/>
          </w:tcPr>
          <w:p w14:paraId="7CEB9BBE" w14:textId="77777777" w:rsidR="00AF0870" w:rsidRPr="00694B06" w:rsidRDefault="00AF0870" w:rsidP="00AC0778">
            <w:pPr>
              <w:pStyle w:val="DataTable"/>
              <w:jc w:val="center"/>
              <w:rPr>
                <w:i/>
                <w:iCs/>
                <w:sz w:val="23"/>
                <w:szCs w:val="23"/>
              </w:rPr>
            </w:pPr>
            <w:r w:rsidRPr="00694B06">
              <w:rPr>
                <w:sz w:val="23"/>
                <w:szCs w:val="23"/>
              </w:rPr>
              <w:t>271</w:t>
            </w:r>
          </w:p>
        </w:tc>
        <w:tc>
          <w:tcPr>
            <w:tcW w:w="1019" w:type="dxa"/>
            <w:shd w:val="clear" w:color="auto" w:fill="FFF2CC" w:themeFill="accent4" w:themeFillTint="33"/>
            <w:noWrap/>
            <w:vAlign w:val="center"/>
            <w:hideMark/>
          </w:tcPr>
          <w:p w14:paraId="75C2BB43" w14:textId="77777777" w:rsidR="00AF0870" w:rsidRPr="00694B06" w:rsidRDefault="00AF0870" w:rsidP="00AC0778">
            <w:pPr>
              <w:pStyle w:val="DataTable"/>
              <w:jc w:val="center"/>
              <w:rPr>
                <w:i/>
                <w:iCs/>
                <w:sz w:val="23"/>
                <w:szCs w:val="23"/>
              </w:rPr>
            </w:pPr>
            <w:r w:rsidRPr="00694B06">
              <w:rPr>
                <w:sz w:val="23"/>
                <w:szCs w:val="23"/>
              </w:rPr>
              <w:t>85.6%</w:t>
            </w:r>
          </w:p>
        </w:tc>
        <w:tc>
          <w:tcPr>
            <w:tcW w:w="948" w:type="dxa"/>
            <w:shd w:val="clear" w:color="auto" w:fill="D9D9D9" w:themeFill="background1" w:themeFillShade="D9"/>
            <w:noWrap/>
            <w:vAlign w:val="center"/>
            <w:hideMark/>
          </w:tcPr>
          <w:p w14:paraId="4A96E144" w14:textId="77777777" w:rsidR="00AF0870" w:rsidRPr="00694B06" w:rsidRDefault="00AF0870" w:rsidP="00AC0778">
            <w:pPr>
              <w:pStyle w:val="DataTable"/>
              <w:jc w:val="center"/>
              <w:rPr>
                <w:i/>
                <w:iCs/>
                <w:sz w:val="23"/>
                <w:szCs w:val="23"/>
              </w:rPr>
            </w:pPr>
            <w:r w:rsidRPr="00694B06">
              <w:rPr>
                <w:sz w:val="23"/>
                <w:szCs w:val="23"/>
              </w:rPr>
              <w:t>79.3%</w:t>
            </w:r>
          </w:p>
        </w:tc>
        <w:tc>
          <w:tcPr>
            <w:tcW w:w="1044" w:type="dxa"/>
            <w:gridSpan w:val="2"/>
            <w:shd w:val="clear" w:color="auto" w:fill="D9D9D9" w:themeFill="background1" w:themeFillShade="D9"/>
            <w:noWrap/>
            <w:vAlign w:val="center"/>
            <w:hideMark/>
          </w:tcPr>
          <w:p w14:paraId="194CC526" w14:textId="77777777" w:rsidR="00AF0870" w:rsidRPr="00694B06" w:rsidRDefault="00AF0870" w:rsidP="00AC0778">
            <w:pPr>
              <w:pStyle w:val="DataTable"/>
              <w:jc w:val="center"/>
              <w:rPr>
                <w:i/>
                <w:iCs/>
                <w:sz w:val="23"/>
                <w:szCs w:val="23"/>
              </w:rPr>
            </w:pPr>
            <w:r w:rsidRPr="00694B06">
              <w:rPr>
                <w:sz w:val="23"/>
                <w:szCs w:val="23"/>
              </w:rPr>
              <w:t>70.5%</w:t>
            </w:r>
          </w:p>
        </w:tc>
        <w:tc>
          <w:tcPr>
            <w:tcW w:w="979" w:type="dxa"/>
            <w:shd w:val="clear" w:color="auto" w:fill="D9D9D9" w:themeFill="background1" w:themeFillShade="D9"/>
            <w:noWrap/>
            <w:vAlign w:val="center"/>
            <w:hideMark/>
          </w:tcPr>
          <w:p w14:paraId="3133F54F" w14:textId="4AD516BD" w:rsidR="00AF0870" w:rsidRPr="00694B06" w:rsidRDefault="00AF0870" w:rsidP="00AC0778">
            <w:pPr>
              <w:pStyle w:val="DataTable"/>
              <w:jc w:val="center"/>
              <w:rPr>
                <w:i/>
                <w:iCs/>
                <w:sz w:val="23"/>
                <w:szCs w:val="23"/>
              </w:rPr>
            </w:pPr>
            <w:r w:rsidRPr="00694B06">
              <w:rPr>
                <w:sz w:val="23"/>
                <w:szCs w:val="23"/>
              </w:rPr>
              <w:t>61.3%</w:t>
            </w:r>
          </w:p>
        </w:tc>
        <w:tc>
          <w:tcPr>
            <w:tcW w:w="1108" w:type="dxa"/>
            <w:gridSpan w:val="2"/>
            <w:shd w:val="clear" w:color="000000" w:fill="000000"/>
            <w:noWrap/>
            <w:vAlign w:val="center"/>
            <w:hideMark/>
          </w:tcPr>
          <w:p w14:paraId="31569B83" w14:textId="6BD61FEF"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6298B2D3" w14:textId="1093F469" w:rsidR="00AF0870" w:rsidRPr="00694B06" w:rsidRDefault="00AF0870" w:rsidP="00AC0778">
            <w:pPr>
              <w:pStyle w:val="DataTable"/>
              <w:jc w:val="center"/>
              <w:rPr>
                <w:i/>
                <w:iCs/>
                <w:sz w:val="23"/>
                <w:szCs w:val="23"/>
              </w:rPr>
            </w:pPr>
          </w:p>
        </w:tc>
      </w:tr>
      <w:tr w:rsidR="00AF0870" w:rsidRPr="00694B06" w14:paraId="59C99075" w14:textId="77777777" w:rsidTr="00424BBB">
        <w:trPr>
          <w:trHeight w:val="15"/>
        </w:trPr>
        <w:tc>
          <w:tcPr>
            <w:tcW w:w="848" w:type="dxa"/>
            <w:vMerge/>
            <w:vAlign w:val="center"/>
            <w:hideMark/>
          </w:tcPr>
          <w:p w14:paraId="0AAC67B0"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13126FE1" w14:textId="77777777" w:rsidR="00AF0870" w:rsidRPr="00694B06" w:rsidRDefault="00AF0870" w:rsidP="00D65653">
            <w:pPr>
              <w:pStyle w:val="DataTable"/>
              <w:rPr>
                <w:i/>
                <w:iCs/>
                <w:sz w:val="23"/>
                <w:szCs w:val="23"/>
              </w:rPr>
            </w:pPr>
            <w:r w:rsidRPr="00694B06">
              <w:rPr>
                <w:sz w:val="23"/>
                <w:szCs w:val="23"/>
              </w:rPr>
              <w:t>TfCS only</w:t>
            </w:r>
          </w:p>
        </w:tc>
        <w:tc>
          <w:tcPr>
            <w:tcW w:w="972" w:type="dxa"/>
            <w:shd w:val="clear" w:color="auto" w:fill="D9D9D9" w:themeFill="background1" w:themeFillShade="D9"/>
            <w:noWrap/>
            <w:vAlign w:val="bottom"/>
            <w:hideMark/>
          </w:tcPr>
          <w:p w14:paraId="455AD345" w14:textId="77777777" w:rsidR="00AF0870" w:rsidRPr="00694B06" w:rsidRDefault="00AF0870" w:rsidP="00AC0778">
            <w:pPr>
              <w:pStyle w:val="DataTable"/>
              <w:jc w:val="center"/>
              <w:rPr>
                <w:i/>
                <w:iCs/>
                <w:sz w:val="23"/>
                <w:szCs w:val="23"/>
              </w:rPr>
            </w:pPr>
            <w:r w:rsidRPr="00694B06">
              <w:rPr>
                <w:sz w:val="23"/>
                <w:szCs w:val="23"/>
              </w:rPr>
              <w:t>141</w:t>
            </w:r>
          </w:p>
        </w:tc>
        <w:tc>
          <w:tcPr>
            <w:tcW w:w="1019" w:type="dxa"/>
            <w:shd w:val="clear" w:color="auto" w:fill="D9D9D9" w:themeFill="background1" w:themeFillShade="D9"/>
            <w:noWrap/>
            <w:vAlign w:val="center"/>
            <w:hideMark/>
          </w:tcPr>
          <w:p w14:paraId="4867D150" w14:textId="77777777" w:rsidR="00AF0870" w:rsidRPr="00694B06" w:rsidRDefault="00AF0870" w:rsidP="00AC0778">
            <w:pPr>
              <w:pStyle w:val="DataTable"/>
              <w:jc w:val="center"/>
              <w:rPr>
                <w:i/>
                <w:iCs/>
                <w:sz w:val="23"/>
                <w:szCs w:val="23"/>
              </w:rPr>
            </w:pPr>
            <w:r w:rsidRPr="00694B06">
              <w:rPr>
                <w:sz w:val="23"/>
                <w:szCs w:val="23"/>
              </w:rPr>
              <w:t>84.4%</w:t>
            </w:r>
          </w:p>
        </w:tc>
        <w:tc>
          <w:tcPr>
            <w:tcW w:w="948" w:type="dxa"/>
            <w:shd w:val="clear" w:color="auto" w:fill="D9D9D9" w:themeFill="background1" w:themeFillShade="D9"/>
            <w:noWrap/>
            <w:vAlign w:val="center"/>
            <w:hideMark/>
          </w:tcPr>
          <w:p w14:paraId="51D5BC55" w14:textId="77777777" w:rsidR="00AF0870" w:rsidRPr="00694B06" w:rsidRDefault="00AF0870" w:rsidP="00AC0778">
            <w:pPr>
              <w:pStyle w:val="DataTable"/>
              <w:jc w:val="center"/>
              <w:rPr>
                <w:i/>
                <w:iCs/>
                <w:sz w:val="23"/>
                <w:szCs w:val="23"/>
              </w:rPr>
            </w:pPr>
            <w:r w:rsidRPr="00694B06">
              <w:rPr>
                <w:sz w:val="23"/>
                <w:szCs w:val="23"/>
              </w:rPr>
              <w:t>80.1%</w:t>
            </w:r>
          </w:p>
        </w:tc>
        <w:tc>
          <w:tcPr>
            <w:tcW w:w="1044" w:type="dxa"/>
            <w:gridSpan w:val="2"/>
            <w:shd w:val="clear" w:color="auto" w:fill="D9D9D9" w:themeFill="background1" w:themeFillShade="D9"/>
            <w:noWrap/>
            <w:vAlign w:val="center"/>
            <w:hideMark/>
          </w:tcPr>
          <w:p w14:paraId="0FA6F3A8" w14:textId="77777777" w:rsidR="00AF0870" w:rsidRPr="00694B06" w:rsidRDefault="00AF0870" w:rsidP="00AC0778">
            <w:pPr>
              <w:pStyle w:val="DataTable"/>
              <w:jc w:val="center"/>
              <w:rPr>
                <w:i/>
                <w:iCs/>
                <w:sz w:val="23"/>
                <w:szCs w:val="23"/>
              </w:rPr>
            </w:pPr>
            <w:r w:rsidRPr="00694B06">
              <w:rPr>
                <w:sz w:val="23"/>
                <w:szCs w:val="23"/>
              </w:rPr>
              <w:t>72.3%</w:t>
            </w:r>
          </w:p>
        </w:tc>
        <w:tc>
          <w:tcPr>
            <w:tcW w:w="979" w:type="dxa"/>
            <w:shd w:val="clear" w:color="auto" w:fill="D9D9D9" w:themeFill="background1" w:themeFillShade="D9"/>
            <w:noWrap/>
            <w:vAlign w:val="center"/>
            <w:hideMark/>
          </w:tcPr>
          <w:p w14:paraId="12DE214B" w14:textId="171418DE" w:rsidR="00AF0870" w:rsidRPr="00694B06" w:rsidRDefault="00AF0870" w:rsidP="00AC0778">
            <w:pPr>
              <w:pStyle w:val="DataTable"/>
              <w:jc w:val="center"/>
              <w:rPr>
                <w:i/>
                <w:iCs/>
                <w:sz w:val="23"/>
                <w:szCs w:val="23"/>
              </w:rPr>
            </w:pPr>
            <w:r w:rsidRPr="00694B06">
              <w:rPr>
                <w:sz w:val="23"/>
                <w:szCs w:val="23"/>
              </w:rPr>
              <w:t>63.1%</w:t>
            </w:r>
          </w:p>
        </w:tc>
        <w:tc>
          <w:tcPr>
            <w:tcW w:w="1108" w:type="dxa"/>
            <w:gridSpan w:val="2"/>
            <w:shd w:val="clear" w:color="000000" w:fill="000000"/>
            <w:noWrap/>
            <w:vAlign w:val="center"/>
            <w:hideMark/>
          </w:tcPr>
          <w:p w14:paraId="6EAFE2A1" w14:textId="790AC361"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6C963704" w14:textId="2CF64C10" w:rsidR="00AF0870" w:rsidRPr="00694B06" w:rsidRDefault="00AF0870" w:rsidP="00AC0778">
            <w:pPr>
              <w:pStyle w:val="DataTable"/>
              <w:jc w:val="center"/>
              <w:rPr>
                <w:i/>
                <w:iCs/>
                <w:sz w:val="23"/>
                <w:szCs w:val="23"/>
              </w:rPr>
            </w:pPr>
          </w:p>
        </w:tc>
      </w:tr>
      <w:tr w:rsidR="00AF0870" w:rsidRPr="00694B06" w14:paraId="74CD0FF2" w14:textId="77777777" w:rsidTr="00424BBB">
        <w:trPr>
          <w:trHeight w:val="15"/>
        </w:trPr>
        <w:tc>
          <w:tcPr>
            <w:tcW w:w="848" w:type="dxa"/>
            <w:vMerge/>
            <w:vAlign w:val="center"/>
            <w:hideMark/>
          </w:tcPr>
          <w:p w14:paraId="24B7CA06"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39CE02C6" w14:textId="77777777" w:rsidR="00AF0870" w:rsidRPr="00694B06" w:rsidRDefault="00AF0870" w:rsidP="00D65653">
            <w:pPr>
              <w:pStyle w:val="DataTable"/>
              <w:rPr>
                <w:i/>
                <w:iCs/>
                <w:sz w:val="23"/>
                <w:szCs w:val="23"/>
              </w:rPr>
            </w:pPr>
            <w:r w:rsidRPr="00694B06">
              <w:rPr>
                <w:sz w:val="23"/>
                <w:szCs w:val="23"/>
              </w:rPr>
              <w:t>Pell Eligible only</w:t>
            </w:r>
          </w:p>
        </w:tc>
        <w:tc>
          <w:tcPr>
            <w:tcW w:w="972" w:type="dxa"/>
            <w:shd w:val="clear" w:color="auto" w:fill="D9D9D9" w:themeFill="background1" w:themeFillShade="D9"/>
            <w:noWrap/>
            <w:vAlign w:val="bottom"/>
            <w:hideMark/>
          </w:tcPr>
          <w:p w14:paraId="2F4D416B" w14:textId="77777777" w:rsidR="00AF0870" w:rsidRPr="00694B06" w:rsidRDefault="00AF0870" w:rsidP="00AC0778">
            <w:pPr>
              <w:pStyle w:val="DataTable"/>
              <w:jc w:val="center"/>
              <w:rPr>
                <w:i/>
                <w:iCs/>
                <w:sz w:val="23"/>
                <w:szCs w:val="23"/>
              </w:rPr>
            </w:pPr>
            <w:r w:rsidRPr="00694B06">
              <w:rPr>
                <w:sz w:val="23"/>
                <w:szCs w:val="23"/>
              </w:rPr>
              <w:t>969</w:t>
            </w:r>
          </w:p>
        </w:tc>
        <w:tc>
          <w:tcPr>
            <w:tcW w:w="1019" w:type="dxa"/>
            <w:shd w:val="clear" w:color="auto" w:fill="D9D9D9" w:themeFill="background1" w:themeFillShade="D9"/>
            <w:noWrap/>
            <w:vAlign w:val="center"/>
            <w:hideMark/>
          </w:tcPr>
          <w:p w14:paraId="41D37765" w14:textId="77777777" w:rsidR="00AF0870" w:rsidRPr="00694B06" w:rsidRDefault="00AF0870" w:rsidP="00AC0778">
            <w:pPr>
              <w:pStyle w:val="DataTable"/>
              <w:jc w:val="center"/>
              <w:rPr>
                <w:i/>
                <w:iCs/>
                <w:sz w:val="23"/>
                <w:szCs w:val="23"/>
              </w:rPr>
            </w:pPr>
            <w:r w:rsidRPr="00694B06">
              <w:rPr>
                <w:sz w:val="23"/>
                <w:szCs w:val="23"/>
              </w:rPr>
              <w:t>86.7%</w:t>
            </w:r>
          </w:p>
        </w:tc>
        <w:tc>
          <w:tcPr>
            <w:tcW w:w="948" w:type="dxa"/>
            <w:shd w:val="clear" w:color="auto" w:fill="D9D9D9" w:themeFill="background1" w:themeFillShade="D9"/>
            <w:noWrap/>
            <w:vAlign w:val="center"/>
            <w:hideMark/>
          </w:tcPr>
          <w:p w14:paraId="68982924" w14:textId="77777777" w:rsidR="00AF0870" w:rsidRPr="00694B06" w:rsidRDefault="00AF0870" w:rsidP="00AC0778">
            <w:pPr>
              <w:pStyle w:val="DataTable"/>
              <w:jc w:val="center"/>
              <w:rPr>
                <w:i/>
                <w:iCs/>
                <w:sz w:val="23"/>
                <w:szCs w:val="23"/>
              </w:rPr>
            </w:pPr>
            <w:r w:rsidRPr="00694B06">
              <w:rPr>
                <w:sz w:val="23"/>
                <w:szCs w:val="23"/>
              </w:rPr>
              <w:t>80.2%</w:t>
            </w:r>
          </w:p>
        </w:tc>
        <w:tc>
          <w:tcPr>
            <w:tcW w:w="1044" w:type="dxa"/>
            <w:gridSpan w:val="2"/>
            <w:shd w:val="clear" w:color="auto" w:fill="D9D9D9" w:themeFill="background1" w:themeFillShade="D9"/>
            <w:noWrap/>
            <w:vAlign w:val="center"/>
            <w:hideMark/>
          </w:tcPr>
          <w:p w14:paraId="306F46E9" w14:textId="77777777" w:rsidR="00AF0870" w:rsidRPr="00694B06" w:rsidRDefault="00AF0870" w:rsidP="00AC0778">
            <w:pPr>
              <w:pStyle w:val="DataTable"/>
              <w:jc w:val="center"/>
              <w:rPr>
                <w:i/>
                <w:iCs/>
                <w:sz w:val="23"/>
                <w:szCs w:val="23"/>
              </w:rPr>
            </w:pPr>
            <w:r w:rsidRPr="00694B06">
              <w:rPr>
                <w:sz w:val="23"/>
                <w:szCs w:val="23"/>
              </w:rPr>
              <w:t>73.8%</w:t>
            </w:r>
          </w:p>
        </w:tc>
        <w:tc>
          <w:tcPr>
            <w:tcW w:w="979" w:type="dxa"/>
            <w:shd w:val="clear" w:color="auto" w:fill="D9D9D9" w:themeFill="background1" w:themeFillShade="D9"/>
            <w:noWrap/>
            <w:vAlign w:val="center"/>
            <w:hideMark/>
          </w:tcPr>
          <w:p w14:paraId="380023A6" w14:textId="7FD0C3F8" w:rsidR="00AF0870" w:rsidRPr="00694B06" w:rsidRDefault="00AF0870" w:rsidP="00AC0778">
            <w:pPr>
              <w:pStyle w:val="DataTable"/>
              <w:jc w:val="center"/>
              <w:rPr>
                <w:i/>
                <w:iCs/>
                <w:sz w:val="23"/>
                <w:szCs w:val="23"/>
              </w:rPr>
            </w:pPr>
            <w:r w:rsidRPr="00694B06">
              <w:rPr>
                <w:sz w:val="23"/>
                <w:szCs w:val="23"/>
              </w:rPr>
              <w:t>62.0%</w:t>
            </w:r>
          </w:p>
        </w:tc>
        <w:tc>
          <w:tcPr>
            <w:tcW w:w="1108" w:type="dxa"/>
            <w:gridSpan w:val="2"/>
            <w:shd w:val="clear" w:color="000000" w:fill="000000"/>
            <w:noWrap/>
            <w:vAlign w:val="center"/>
            <w:hideMark/>
          </w:tcPr>
          <w:p w14:paraId="78646A52" w14:textId="06FB1036"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3F4FD5E2" w14:textId="68A998B1" w:rsidR="00AF0870" w:rsidRPr="00694B06" w:rsidRDefault="00AF0870" w:rsidP="00AC0778">
            <w:pPr>
              <w:pStyle w:val="DataTable"/>
              <w:jc w:val="center"/>
              <w:rPr>
                <w:i/>
                <w:iCs/>
                <w:sz w:val="23"/>
                <w:szCs w:val="23"/>
              </w:rPr>
            </w:pPr>
          </w:p>
        </w:tc>
      </w:tr>
      <w:tr w:rsidR="00AF0870" w:rsidRPr="00694B06" w14:paraId="2BDFDFD6" w14:textId="77777777" w:rsidTr="00424BBB">
        <w:trPr>
          <w:trHeight w:val="15"/>
        </w:trPr>
        <w:tc>
          <w:tcPr>
            <w:tcW w:w="848" w:type="dxa"/>
            <w:vMerge/>
            <w:vAlign w:val="center"/>
            <w:hideMark/>
          </w:tcPr>
          <w:p w14:paraId="79E9B6BD"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16146C5F" w14:textId="77777777" w:rsidR="00AF0870" w:rsidRPr="00694B06" w:rsidRDefault="00AF0870" w:rsidP="00D65653">
            <w:pPr>
              <w:pStyle w:val="DataTable"/>
              <w:rPr>
                <w:i/>
                <w:iCs/>
                <w:sz w:val="23"/>
                <w:szCs w:val="23"/>
              </w:rPr>
            </w:pPr>
            <w:r w:rsidRPr="00694B06">
              <w:rPr>
                <w:sz w:val="23"/>
                <w:szCs w:val="23"/>
              </w:rPr>
              <w:t>Indiana Residents</w:t>
            </w:r>
          </w:p>
        </w:tc>
        <w:tc>
          <w:tcPr>
            <w:tcW w:w="972" w:type="dxa"/>
            <w:shd w:val="clear" w:color="auto" w:fill="D9D9D9" w:themeFill="background1" w:themeFillShade="D9"/>
            <w:noWrap/>
            <w:vAlign w:val="bottom"/>
            <w:hideMark/>
          </w:tcPr>
          <w:p w14:paraId="288E27CB" w14:textId="77777777" w:rsidR="00AF0870" w:rsidRPr="00694B06" w:rsidRDefault="00AF0870" w:rsidP="00AC0778">
            <w:pPr>
              <w:pStyle w:val="DataTable"/>
              <w:jc w:val="center"/>
              <w:rPr>
                <w:i/>
                <w:iCs/>
                <w:sz w:val="23"/>
                <w:szCs w:val="23"/>
              </w:rPr>
            </w:pPr>
            <w:r w:rsidRPr="00694B06">
              <w:rPr>
                <w:sz w:val="23"/>
                <w:szCs w:val="23"/>
              </w:rPr>
              <w:t>4489</w:t>
            </w:r>
          </w:p>
        </w:tc>
        <w:tc>
          <w:tcPr>
            <w:tcW w:w="1019" w:type="dxa"/>
            <w:shd w:val="clear" w:color="auto" w:fill="D9D9D9" w:themeFill="background1" w:themeFillShade="D9"/>
            <w:noWrap/>
            <w:vAlign w:val="center"/>
            <w:hideMark/>
          </w:tcPr>
          <w:p w14:paraId="709961D2" w14:textId="77777777" w:rsidR="00AF0870" w:rsidRPr="00694B06" w:rsidRDefault="00AF0870" w:rsidP="00AC0778">
            <w:pPr>
              <w:pStyle w:val="DataTable"/>
              <w:jc w:val="center"/>
              <w:rPr>
                <w:i/>
                <w:iCs/>
                <w:sz w:val="23"/>
                <w:szCs w:val="23"/>
              </w:rPr>
            </w:pPr>
            <w:r w:rsidRPr="00694B06">
              <w:rPr>
                <w:sz w:val="23"/>
                <w:szCs w:val="23"/>
              </w:rPr>
              <w:t>89.2%</w:t>
            </w:r>
          </w:p>
        </w:tc>
        <w:tc>
          <w:tcPr>
            <w:tcW w:w="948" w:type="dxa"/>
            <w:shd w:val="clear" w:color="auto" w:fill="D9D9D9" w:themeFill="background1" w:themeFillShade="D9"/>
            <w:noWrap/>
            <w:vAlign w:val="center"/>
            <w:hideMark/>
          </w:tcPr>
          <w:p w14:paraId="474AB5A4" w14:textId="77777777" w:rsidR="00AF0870" w:rsidRPr="00694B06" w:rsidRDefault="00AF0870" w:rsidP="00AC0778">
            <w:pPr>
              <w:pStyle w:val="DataTable"/>
              <w:jc w:val="center"/>
              <w:rPr>
                <w:i/>
                <w:iCs/>
                <w:sz w:val="23"/>
                <w:szCs w:val="23"/>
              </w:rPr>
            </w:pPr>
            <w:r w:rsidRPr="00694B06">
              <w:rPr>
                <w:sz w:val="23"/>
                <w:szCs w:val="23"/>
              </w:rPr>
              <w:t>85.0%</w:t>
            </w:r>
          </w:p>
        </w:tc>
        <w:tc>
          <w:tcPr>
            <w:tcW w:w="1044" w:type="dxa"/>
            <w:gridSpan w:val="2"/>
            <w:shd w:val="clear" w:color="auto" w:fill="D9D9D9" w:themeFill="background1" w:themeFillShade="D9"/>
            <w:noWrap/>
            <w:vAlign w:val="center"/>
            <w:hideMark/>
          </w:tcPr>
          <w:p w14:paraId="18273444" w14:textId="77777777" w:rsidR="00AF0870" w:rsidRPr="00694B06" w:rsidRDefault="00AF0870" w:rsidP="00AC0778">
            <w:pPr>
              <w:pStyle w:val="DataTable"/>
              <w:jc w:val="center"/>
              <w:rPr>
                <w:i/>
                <w:iCs/>
                <w:sz w:val="23"/>
                <w:szCs w:val="23"/>
              </w:rPr>
            </w:pPr>
            <w:r w:rsidRPr="00694B06">
              <w:rPr>
                <w:sz w:val="23"/>
                <w:szCs w:val="23"/>
              </w:rPr>
              <w:t>78.2%</w:t>
            </w:r>
          </w:p>
        </w:tc>
        <w:tc>
          <w:tcPr>
            <w:tcW w:w="979" w:type="dxa"/>
            <w:shd w:val="clear" w:color="auto" w:fill="D9D9D9" w:themeFill="background1" w:themeFillShade="D9"/>
            <w:noWrap/>
            <w:vAlign w:val="center"/>
            <w:hideMark/>
          </w:tcPr>
          <w:p w14:paraId="330CC675" w14:textId="4D53BD87" w:rsidR="00AF0870" w:rsidRPr="00694B06" w:rsidRDefault="00AF0870" w:rsidP="00AC0778">
            <w:pPr>
              <w:pStyle w:val="DataTable"/>
              <w:jc w:val="center"/>
              <w:rPr>
                <w:i/>
                <w:iCs/>
                <w:sz w:val="23"/>
                <w:szCs w:val="23"/>
              </w:rPr>
            </w:pPr>
            <w:r w:rsidRPr="00694B06">
              <w:rPr>
                <w:sz w:val="23"/>
                <w:szCs w:val="23"/>
              </w:rPr>
              <w:t>67.3%</w:t>
            </w:r>
          </w:p>
        </w:tc>
        <w:tc>
          <w:tcPr>
            <w:tcW w:w="1108" w:type="dxa"/>
            <w:gridSpan w:val="2"/>
            <w:shd w:val="clear" w:color="000000" w:fill="000000"/>
            <w:noWrap/>
            <w:vAlign w:val="center"/>
            <w:hideMark/>
          </w:tcPr>
          <w:p w14:paraId="0C26415C" w14:textId="209ACE38"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32A62B82" w14:textId="6DE5FC94" w:rsidR="00AF0870" w:rsidRPr="00694B06" w:rsidRDefault="00AF0870" w:rsidP="00AC0778">
            <w:pPr>
              <w:pStyle w:val="DataTable"/>
              <w:jc w:val="center"/>
              <w:rPr>
                <w:i/>
                <w:iCs/>
                <w:sz w:val="23"/>
                <w:szCs w:val="23"/>
              </w:rPr>
            </w:pPr>
          </w:p>
        </w:tc>
      </w:tr>
      <w:tr w:rsidR="00AF0870" w:rsidRPr="00694B06" w14:paraId="05A77CF0" w14:textId="77777777" w:rsidTr="00424BBB">
        <w:trPr>
          <w:trHeight w:val="15"/>
        </w:trPr>
        <w:tc>
          <w:tcPr>
            <w:tcW w:w="848" w:type="dxa"/>
            <w:vMerge/>
            <w:vAlign w:val="center"/>
            <w:hideMark/>
          </w:tcPr>
          <w:p w14:paraId="469AE4C4"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3F470CBE" w14:textId="77777777" w:rsidR="00AF0870" w:rsidRPr="00694B06" w:rsidRDefault="00AF0870" w:rsidP="00D65653">
            <w:pPr>
              <w:pStyle w:val="DataTable"/>
              <w:rPr>
                <w:i/>
                <w:iCs/>
                <w:sz w:val="23"/>
                <w:szCs w:val="23"/>
              </w:rPr>
            </w:pPr>
            <w:r w:rsidRPr="00694B06">
              <w:rPr>
                <w:sz w:val="23"/>
                <w:szCs w:val="23"/>
              </w:rPr>
              <w:t>University Rate</w:t>
            </w:r>
          </w:p>
        </w:tc>
        <w:tc>
          <w:tcPr>
            <w:tcW w:w="972" w:type="dxa"/>
            <w:shd w:val="clear" w:color="auto" w:fill="D9D9D9" w:themeFill="background1" w:themeFillShade="D9"/>
            <w:noWrap/>
            <w:vAlign w:val="bottom"/>
            <w:hideMark/>
          </w:tcPr>
          <w:p w14:paraId="23C0B130" w14:textId="77777777" w:rsidR="00AF0870" w:rsidRPr="00694B06" w:rsidRDefault="00AF0870" w:rsidP="00AC0778">
            <w:pPr>
              <w:pStyle w:val="DataTable"/>
              <w:jc w:val="center"/>
              <w:rPr>
                <w:i/>
                <w:iCs/>
                <w:sz w:val="23"/>
                <w:szCs w:val="23"/>
              </w:rPr>
            </w:pPr>
            <w:r w:rsidRPr="00694B06">
              <w:rPr>
                <w:sz w:val="23"/>
                <w:szCs w:val="23"/>
              </w:rPr>
              <w:t>10142</w:t>
            </w:r>
          </w:p>
        </w:tc>
        <w:tc>
          <w:tcPr>
            <w:tcW w:w="1019" w:type="dxa"/>
            <w:shd w:val="clear" w:color="auto" w:fill="D9D9D9" w:themeFill="background1" w:themeFillShade="D9"/>
            <w:noWrap/>
            <w:vAlign w:val="center"/>
            <w:hideMark/>
          </w:tcPr>
          <w:p w14:paraId="325A41F3" w14:textId="77777777" w:rsidR="00AF0870" w:rsidRPr="00694B06" w:rsidRDefault="00AF0870" w:rsidP="00AC0778">
            <w:pPr>
              <w:pStyle w:val="DataTable"/>
              <w:jc w:val="center"/>
              <w:rPr>
                <w:i/>
                <w:iCs/>
                <w:sz w:val="23"/>
                <w:szCs w:val="23"/>
              </w:rPr>
            </w:pPr>
            <w:r w:rsidRPr="00694B06">
              <w:rPr>
                <w:sz w:val="23"/>
                <w:szCs w:val="23"/>
              </w:rPr>
              <w:t>90.7%</w:t>
            </w:r>
          </w:p>
        </w:tc>
        <w:tc>
          <w:tcPr>
            <w:tcW w:w="948" w:type="dxa"/>
            <w:shd w:val="clear" w:color="auto" w:fill="D9D9D9" w:themeFill="background1" w:themeFillShade="D9"/>
            <w:noWrap/>
            <w:vAlign w:val="center"/>
            <w:hideMark/>
          </w:tcPr>
          <w:p w14:paraId="4BA0D401" w14:textId="77777777" w:rsidR="00AF0870" w:rsidRPr="00694B06" w:rsidRDefault="00AF0870" w:rsidP="00AC0778">
            <w:pPr>
              <w:pStyle w:val="DataTable"/>
              <w:jc w:val="center"/>
              <w:rPr>
                <w:i/>
                <w:iCs/>
                <w:sz w:val="23"/>
                <w:szCs w:val="23"/>
              </w:rPr>
            </w:pPr>
            <w:r w:rsidRPr="00694B06">
              <w:rPr>
                <w:sz w:val="23"/>
                <w:szCs w:val="23"/>
              </w:rPr>
              <w:t>86.8%</w:t>
            </w:r>
          </w:p>
        </w:tc>
        <w:tc>
          <w:tcPr>
            <w:tcW w:w="1044" w:type="dxa"/>
            <w:gridSpan w:val="2"/>
            <w:shd w:val="clear" w:color="auto" w:fill="D9D9D9" w:themeFill="background1" w:themeFillShade="D9"/>
            <w:noWrap/>
            <w:vAlign w:val="center"/>
            <w:hideMark/>
          </w:tcPr>
          <w:p w14:paraId="73F20433" w14:textId="77777777" w:rsidR="00AF0870" w:rsidRPr="00694B06" w:rsidRDefault="00AF0870" w:rsidP="00AC0778">
            <w:pPr>
              <w:pStyle w:val="DataTable"/>
              <w:jc w:val="center"/>
              <w:rPr>
                <w:i/>
                <w:iCs/>
                <w:sz w:val="23"/>
                <w:szCs w:val="23"/>
              </w:rPr>
            </w:pPr>
            <w:r w:rsidRPr="00694B06">
              <w:rPr>
                <w:sz w:val="23"/>
                <w:szCs w:val="23"/>
              </w:rPr>
              <w:t>81.7%</w:t>
            </w:r>
          </w:p>
        </w:tc>
        <w:tc>
          <w:tcPr>
            <w:tcW w:w="979" w:type="dxa"/>
            <w:shd w:val="clear" w:color="auto" w:fill="D9D9D9" w:themeFill="background1" w:themeFillShade="D9"/>
            <w:noWrap/>
            <w:vAlign w:val="center"/>
            <w:hideMark/>
          </w:tcPr>
          <w:p w14:paraId="26981090" w14:textId="2B17A97C" w:rsidR="00AF0870" w:rsidRPr="00694B06" w:rsidRDefault="00AF0870" w:rsidP="00AC0778">
            <w:pPr>
              <w:pStyle w:val="DataTable"/>
              <w:jc w:val="center"/>
              <w:rPr>
                <w:i/>
                <w:iCs/>
                <w:sz w:val="23"/>
                <w:szCs w:val="23"/>
              </w:rPr>
            </w:pPr>
            <w:r w:rsidRPr="00694B06">
              <w:rPr>
                <w:sz w:val="23"/>
                <w:szCs w:val="23"/>
              </w:rPr>
              <w:t>68.3%</w:t>
            </w:r>
          </w:p>
        </w:tc>
        <w:tc>
          <w:tcPr>
            <w:tcW w:w="1108" w:type="dxa"/>
            <w:gridSpan w:val="2"/>
            <w:shd w:val="clear" w:color="000000" w:fill="000000"/>
            <w:noWrap/>
            <w:vAlign w:val="center"/>
            <w:hideMark/>
          </w:tcPr>
          <w:p w14:paraId="32C03DDA" w14:textId="45CDCD4B"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1411B05C" w14:textId="03498885" w:rsidR="00AF0870" w:rsidRPr="00694B06" w:rsidRDefault="00AF0870" w:rsidP="00AC0778">
            <w:pPr>
              <w:pStyle w:val="DataTable"/>
              <w:jc w:val="center"/>
              <w:rPr>
                <w:i/>
                <w:iCs/>
                <w:sz w:val="23"/>
                <w:szCs w:val="23"/>
              </w:rPr>
            </w:pPr>
          </w:p>
        </w:tc>
      </w:tr>
      <w:tr w:rsidR="00AF0870" w:rsidRPr="00694B06" w14:paraId="772F0CDE" w14:textId="77777777" w:rsidTr="00424BBB">
        <w:trPr>
          <w:trHeight w:val="15"/>
        </w:trPr>
        <w:tc>
          <w:tcPr>
            <w:tcW w:w="848" w:type="dxa"/>
            <w:vMerge w:val="restart"/>
            <w:shd w:val="clear" w:color="000000" w:fill="FFFFFF"/>
            <w:noWrap/>
            <w:vAlign w:val="center"/>
            <w:hideMark/>
          </w:tcPr>
          <w:p w14:paraId="0570A98E" w14:textId="77777777" w:rsidR="00AF0870" w:rsidRPr="00694B06" w:rsidRDefault="00AF0870" w:rsidP="00D65653">
            <w:pPr>
              <w:pStyle w:val="DataTable"/>
              <w:rPr>
                <w:i/>
                <w:iCs/>
                <w:sz w:val="23"/>
                <w:szCs w:val="23"/>
              </w:rPr>
            </w:pPr>
            <w:r w:rsidRPr="00694B06">
              <w:rPr>
                <w:sz w:val="23"/>
                <w:szCs w:val="23"/>
              </w:rPr>
              <w:t>2022</w:t>
            </w:r>
          </w:p>
        </w:tc>
        <w:tc>
          <w:tcPr>
            <w:tcW w:w="2089" w:type="dxa"/>
            <w:shd w:val="clear" w:color="000000" w:fill="FFFFFF"/>
            <w:noWrap/>
            <w:vAlign w:val="bottom"/>
            <w:hideMark/>
          </w:tcPr>
          <w:p w14:paraId="4E256010"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shd w:val="clear" w:color="auto" w:fill="FFFFFF" w:themeFill="background1"/>
            <w:noWrap/>
            <w:vAlign w:val="bottom"/>
            <w:hideMark/>
          </w:tcPr>
          <w:p w14:paraId="0AE3177D" w14:textId="77777777" w:rsidR="00AF0870" w:rsidRPr="00694B06" w:rsidRDefault="00AF0870" w:rsidP="00AC0778">
            <w:pPr>
              <w:pStyle w:val="DataTable"/>
              <w:jc w:val="center"/>
              <w:rPr>
                <w:i/>
                <w:iCs/>
                <w:sz w:val="23"/>
                <w:szCs w:val="23"/>
              </w:rPr>
            </w:pPr>
            <w:r w:rsidRPr="00694B06">
              <w:rPr>
                <w:sz w:val="23"/>
                <w:szCs w:val="23"/>
              </w:rPr>
              <w:t>268</w:t>
            </w:r>
          </w:p>
        </w:tc>
        <w:tc>
          <w:tcPr>
            <w:tcW w:w="1019" w:type="dxa"/>
            <w:shd w:val="clear" w:color="auto" w:fill="ECE3D4"/>
            <w:noWrap/>
            <w:vAlign w:val="center"/>
            <w:hideMark/>
          </w:tcPr>
          <w:p w14:paraId="4508C970" w14:textId="77777777" w:rsidR="00AF0870" w:rsidRPr="00694B06" w:rsidRDefault="00AF0870" w:rsidP="00AC0778">
            <w:pPr>
              <w:pStyle w:val="DataTable"/>
              <w:jc w:val="center"/>
              <w:rPr>
                <w:i/>
                <w:iCs/>
                <w:sz w:val="23"/>
                <w:szCs w:val="23"/>
              </w:rPr>
            </w:pPr>
            <w:r w:rsidRPr="00694B06">
              <w:rPr>
                <w:sz w:val="23"/>
                <w:szCs w:val="23"/>
              </w:rPr>
              <w:t>91.4%</w:t>
            </w:r>
          </w:p>
        </w:tc>
        <w:tc>
          <w:tcPr>
            <w:tcW w:w="948" w:type="dxa"/>
            <w:shd w:val="clear" w:color="auto" w:fill="ECE3D4"/>
            <w:noWrap/>
            <w:vAlign w:val="center"/>
            <w:hideMark/>
          </w:tcPr>
          <w:p w14:paraId="7D249BE9" w14:textId="77777777" w:rsidR="00AF0870" w:rsidRPr="00694B06" w:rsidRDefault="00AF0870" w:rsidP="00AC0778">
            <w:pPr>
              <w:pStyle w:val="DataTable"/>
              <w:jc w:val="center"/>
              <w:rPr>
                <w:i/>
                <w:iCs/>
                <w:sz w:val="23"/>
                <w:szCs w:val="23"/>
              </w:rPr>
            </w:pPr>
            <w:r w:rsidRPr="00694B06">
              <w:rPr>
                <w:sz w:val="23"/>
                <w:szCs w:val="23"/>
              </w:rPr>
              <w:t>87.7%</w:t>
            </w:r>
          </w:p>
        </w:tc>
        <w:tc>
          <w:tcPr>
            <w:tcW w:w="1044" w:type="dxa"/>
            <w:gridSpan w:val="2"/>
            <w:shd w:val="clear" w:color="auto" w:fill="ECE3D4"/>
            <w:noWrap/>
            <w:vAlign w:val="center"/>
            <w:hideMark/>
          </w:tcPr>
          <w:p w14:paraId="007E2BC4" w14:textId="37071ABA" w:rsidR="00AF0870" w:rsidRPr="00694B06" w:rsidRDefault="00AF0870" w:rsidP="00AC0778">
            <w:pPr>
              <w:pStyle w:val="DataTable"/>
              <w:jc w:val="center"/>
              <w:rPr>
                <w:i/>
                <w:iCs/>
                <w:sz w:val="23"/>
                <w:szCs w:val="23"/>
              </w:rPr>
            </w:pPr>
            <w:r w:rsidRPr="00694B06">
              <w:rPr>
                <w:sz w:val="23"/>
                <w:szCs w:val="23"/>
                <w:shd w:val="clear" w:color="auto" w:fill="ECE3D4"/>
              </w:rPr>
              <w:t>79.1%</w:t>
            </w:r>
          </w:p>
        </w:tc>
        <w:tc>
          <w:tcPr>
            <w:tcW w:w="979" w:type="dxa"/>
            <w:shd w:val="clear" w:color="000000" w:fill="000000"/>
            <w:noWrap/>
            <w:vAlign w:val="center"/>
            <w:hideMark/>
          </w:tcPr>
          <w:p w14:paraId="0361A3E5" w14:textId="26992532"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53D949AE" w14:textId="5C34AE8D"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51EC741B" w14:textId="6C194AAF" w:rsidR="00AF0870" w:rsidRPr="00694B06" w:rsidRDefault="00AF0870" w:rsidP="00AC0778">
            <w:pPr>
              <w:pStyle w:val="DataTable"/>
              <w:jc w:val="center"/>
              <w:rPr>
                <w:i/>
                <w:iCs/>
                <w:sz w:val="23"/>
                <w:szCs w:val="23"/>
              </w:rPr>
            </w:pPr>
          </w:p>
        </w:tc>
      </w:tr>
      <w:tr w:rsidR="00AF0870" w:rsidRPr="00694B06" w14:paraId="04E839AC" w14:textId="77777777" w:rsidTr="00424BBB">
        <w:trPr>
          <w:trHeight w:val="15"/>
        </w:trPr>
        <w:tc>
          <w:tcPr>
            <w:tcW w:w="848" w:type="dxa"/>
            <w:vMerge/>
            <w:vAlign w:val="center"/>
            <w:hideMark/>
          </w:tcPr>
          <w:p w14:paraId="630D916A"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1A907796" w14:textId="77777777" w:rsidR="00AF0870" w:rsidRPr="00694B06" w:rsidRDefault="00AF0870" w:rsidP="00D65653">
            <w:pPr>
              <w:pStyle w:val="DataTable"/>
              <w:rPr>
                <w:i/>
                <w:iCs/>
                <w:sz w:val="23"/>
                <w:szCs w:val="23"/>
              </w:rPr>
            </w:pPr>
            <w:r w:rsidRPr="00694B06">
              <w:rPr>
                <w:sz w:val="23"/>
                <w:szCs w:val="23"/>
              </w:rPr>
              <w:t>TfCS only</w:t>
            </w:r>
          </w:p>
        </w:tc>
        <w:tc>
          <w:tcPr>
            <w:tcW w:w="972" w:type="dxa"/>
            <w:shd w:val="clear" w:color="auto" w:fill="FFFFFF" w:themeFill="background1"/>
            <w:noWrap/>
            <w:vAlign w:val="bottom"/>
            <w:hideMark/>
          </w:tcPr>
          <w:p w14:paraId="3348746F" w14:textId="77777777" w:rsidR="00AF0870" w:rsidRPr="00694B06" w:rsidRDefault="00AF0870" w:rsidP="00AC0778">
            <w:pPr>
              <w:pStyle w:val="DataTable"/>
              <w:jc w:val="center"/>
              <w:rPr>
                <w:i/>
                <w:iCs/>
                <w:sz w:val="23"/>
                <w:szCs w:val="23"/>
              </w:rPr>
            </w:pPr>
            <w:r w:rsidRPr="00694B06">
              <w:rPr>
                <w:sz w:val="23"/>
                <w:szCs w:val="23"/>
              </w:rPr>
              <w:t>129</w:t>
            </w:r>
          </w:p>
        </w:tc>
        <w:tc>
          <w:tcPr>
            <w:tcW w:w="1019" w:type="dxa"/>
            <w:shd w:val="clear" w:color="auto" w:fill="FFFFFF" w:themeFill="background1"/>
            <w:noWrap/>
            <w:vAlign w:val="center"/>
            <w:hideMark/>
          </w:tcPr>
          <w:p w14:paraId="7DA78FFA" w14:textId="77777777" w:rsidR="00AF0870" w:rsidRPr="00694B06" w:rsidRDefault="00AF0870" w:rsidP="00AC0778">
            <w:pPr>
              <w:pStyle w:val="DataTable"/>
              <w:jc w:val="center"/>
              <w:rPr>
                <w:i/>
                <w:iCs/>
                <w:sz w:val="23"/>
                <w:szCs w:val="23"/>
              </w:rPr>
            </w:pPr>
            <w:r w:rsidRPr="00694B06">
              <w:rPr>
                <w:sz w:val="23"/>
                <w:szCs w:val="23"/>
              </w:rPr>
              <w:t>88.4%</w:t>
            </w:r>
          </w:p>
        </w:tc>
        <w:tc>
          <w:tcPr>
            <w:tcW w:w="948" w:type="dxa"/>
            <w:shd w:val="clear" w:color="auto" w:fill="FFFFFF" w:themeFill="background1"/>
            <w:noWrap/>
            <w:vAlign w:val="center"/>
            <w:hideMark/>
          </w:tcPr>
          <w:p w14:paraId="204B58DE" w14:textId="77777777" w:rsidR="00AF0870" w:rsidRPr="00694B06" w:rsidRDefault="00AF0870" w:rsidP="00AC0778">
            <w:pPr>
              <w:pStyle w:val="DataTable"/>
              <w:jc w:val="center"/>
              <w:rPr>
                <w:i/>
                <w:iCs/>
                <w:sz w:val="23"/>
                <w:szCs w:val="23"/>
              </w:rPr>
            </w:pPr>
            <w:r w:rsidRPr="00694B06">
              <w:rPr>
                <w:sz w:val="23"/>
                <w:szCs w:val="23"/>
              </w:rPr>
              <w:t>78.8%</w:t>
            </w:r>
          </w:p>
        </w:tc>
        <w:tc>
          <w:tcPr>
            <w:tcW w:w="1044" w:type="dxa"/>
            <w:gridSpan w:val="2"/>
            <w:noWrap/>
            <w:vAlign w:val="center"/>
            <w:hideMark/>
          </w:tcPr>
          <w:p w14:paraId="059CF79F" w14:textId="21531842" w:rsidR="00AF0870" w:rsidRPr="00694B06" w:rsidRDefault="00AF0870" w:rsidP="00AC0778">
            <w:pPr>
              <w:pStyle w:val="DataTable"/>
              <w:jc w:val="center"/>
              <w:rPr>
                <w:i/>
                <w:iCs/>
                <w:sz w:val="23"/>
                <w:szCs w:val="23"/>
              </w:rPr>
            </w:pPr>
            <w:r w:rsidRPr="00694B06">
              <w:rPr>
                <w:sz w:val="23"/>
                <w:szCs w:val="23"/>
              </w:rPr>
              <w:t>70.5%</w:t>
            </w:r>
          </w:p>
        </w:tc>
        <w:tc>
          <w:tcPr>
            <w:tcW w:w="979" w:type="dxa"/>
            <w:shd w:val="clear" w:color="000000" w:fill="000000"/>
            <w:noWrap/>
            <w:vAlign w:val="center"/>
            <w:hideMark/>
          </w:tcPr>
          <w:p w14:paraId="71D4405D" w14:textId="0BD6590C"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76B61310" w14:textId="3922D642"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42064094" w14:textId="088284F6" w:rsidR="00AF0870" w:rsidRPr="00694B06" w:rsidRDefault="00AF0870" w:rsidP="00AC0778">
            <w:pPr>
              <w:pStyle w:val="DataTable"/>
              <w:jc w:val="center"/>
              <w:rPr>
                <w:i/>
                <w:iCs/>
                <w:sz w:val="23"/>
                <w:szCs w:val="23"/>
              </w:rPr>
            </w:pPr>
          </w:p>
        </w:tc>
      </w:tr>
      <w:tr w:rsidR="00AF0870" w:rsidRPr="00694B06" w14:paraId="76BDDBC4" w14:textId="77777777" w:rsidTr="00424BBB">
        <w:trPr>
          <w:trHeight w:val="15"/>
        </w:trPr>
        <w:tc>
          <w:tcPr>
            <w:tcW w:w="848" w:type="dxa"/>
            <w:vMerge/>
            <w:vAlign w:val="center"/>
            <w:hideMark/>
          </w:tcPr>
          <w:p w14:paraId="5BF92F09"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018E44EA" w14:textId="77777777" w:rsidR="00AF0870" w:rsidRPr="00694B06" w:rsidRDefault="00AF0870" w:rsidP="00D65653">
            <w:pPr>
              <w:pStyle w:val="DataTable"/>
              <w:rPr>
                <w:i/>
                <w:iCs/>
                <w:sz w:val="23"/>
                <w:szCs w:val="23"/>
              </w:rPr>
            </w:pPr>
            <w:r w:rsidRPr="00694B06">
              <w:rPr>
                <w:sz w:val="23"/>
                <w:szCs w:val="23"/>
              </w:rPr>
              <w:t>Pell Eligible only</w:t>
            </w:r>
          </w:p>
        </w:tc>
        <w:tc>
          <w:tcPr>
            <w:tcW w:w="972" w:type="dxa"/>
            <w:shd w:val="clear" w:color="auto" w:fill="FFFFFF" w:themeFill="background1"/>
            <w:noWrap/>
            <w:vAlign w:val="bottom"/>
            <w:hideMark/>
          </w:tcPr>
          <w:p w14:paraId="49F673EA" w14:textId="77777777" w:rsidR="00AF0870" w:rsidRPr="00694B06" w:rsidRDefault="00AF0870" w:rsidP="00AC0778">
            <w:pPr>
              <w:pStyle w:val="DataTable"/>
              <w:jc w:val="center"/>
              <w:rPr>
                <w:i/>
                <w:iCs/>
                <w:sz w:val="23"/>
                <w:szCs w:val="23"/>
              </w:rPr>
            </w:pPr>
            <w:r w:rsidRPr="00694B06">
              <w:rPr>
                <w:sz w:val="23"/>
                <w:szCs w:val="23"/>
              </w:rPr>
              <w:t>868</w:t>
            </w:r>
          </w:p>
        </w:tc>
        <w:tc>
          <w:tcPr>
            <w:tcW w:w="1019" w:type="dxa"/>
            <w:shd w:val="clear" w:color="auto" w:fill="FFFFFF" w:themeFill="background1"/>
            <w:noWrap/>
            <w:vAlign w:val="center"/>
            <w:hideMark/>
          </w:tcPr>
          <w:p w14:paraId="0EC9A69D" w14:textId="77777777" w:rsidR="00AF0870" w:rsidRPr="00694B06" w:rsidRDefault="00AF0870" w:rsidP="00AC0778">
            <w:pPr>
              <w:pStyle w:val="DataTable"/>
              <w:jc w:val="center"/>
              <w:rPr>
                <w:i/>
                <w:iCs/>
                <w:sz w:val="23"/>
                <w:szCs w:val="23"/>
              </w:rPr>
            </w:pPr>
            <w:r w:rsidRPr="00694B06">
              <w:rPr>
                <w:sz w:val="23"/>
                <w:szCs w:val="23"/>
              </w:rPr>
              <w:t>87.9%</w:t>
            </w:r>
          </w:p>
        </w:tc>
        <w:tc>
          <w:tcPr>
            <w:tcW w:w="948" w:type="dxa"/>
            <w:shd w:val="clear" w:color="auto" w:fill="FFFFFF" w:themeFill="background1"/>
            <w:noWrap/>
            <w:vAlign w:val="center"/>
            <w:hideMark/>
          </w:tcPr>
          <w:p w14:paraId="6909825D" w14:textId="77777777" w:rsidR="00AF0870" w:rsidRPr="00694B06" w:rsidRDefault="00AF0870" w:rsidP="00AC0778">
            <w:pPr>
              <w:pStyle w:val="DataTable"/>
              <w:jc w:val="center"/>
              <w:rPr>
                <w:i/>
                <w:iCs/>
                <w:sz w:val="23"/>
                <w:szCs w:val="23"/>
              </w:rPr>
            </w:pPr>
            <w:r w:rsidRPr="00694B06">
              <w:rPr>
                <w:sz w:val="23"/>
                <w:szCs w:val="23"/>
              </w:rPr>
              <w:t>84.5%</w:t>
            </w:r>
          </w:p>
        </w:tc>
        <w:tc>
          <w:tcPr>
            <w:tcW w:w="1044" w:type="dxa"/>
            <w:gridSpan w:val="2"/>
            <w:noWrap/>
            <w:vAlign w:val="center"/>
            <w:hideMark/>
          </w:tcPr>
          <w:p w14:paraId="2CDB25DE" w14:textId="123382D3" w:rsidR="00AF0870" w:rsidRPr="00694B06" w:rsidRDefault="00AF0870" w:rsidP="00AC0778">
            <w:pPr>
              <w:pStyle w:val="DataTable"/>
              <w:jc w:val="center"/>
              <w:rPr>
                <w:i/>
                <w:iCs/>
                <w:sz w:val="23"/>
                <w:szCs w:val="23"/>
              </w:rPr>
            </w:pPr>
            <w:r w:rsidRPr="00694B06">
              <w:rPr>
                <w:sz w:val="23"/>
                <w:szCs w:val="23"/>
              </w:rPr>
              <w:t>76.5%</w:t>
            </w:r>
          </w:p>
        </w:tc>
        <w:tc>
          <w:tcPr>
            <w:tcW w:w="979" w:type="dxa"/>
            <w:shd w:val="clear" w:color="000000" w:fill="000000"/>
            <w:noWrap/>
            <w:vAlign w:val="center"/>
            <w:hideMark/>
          </w:tcPr>
          <w:p w14:paraId="6E4887B1" w14:textId="5D2E87A2"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6F8A8D88" w14:textId="5D16276B"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31647A8A" w14:textId="35F31E58" w:rsidR="00AF0870" w:rsidRPr="00694B06" w:rsidRDefault="00AF0870" w:rsidP="00AC0778">
            <w:pPr>
              <w:pStyle w:val="DataTable"/>
              <w:jc w:val="center"/>
              <w:rPr>
                <w:i/>
                <w:iCs/>
                <w:sz w:val="23"/>
                <w:szCs w:val="23"/>
              </w:rPr>
            </w:pPr>
          </w:p>
        </w:tc>
      </w:tr>
      <w:tr w:rsidR="00AF0870" w:rsidRPr="00694B06" w14:paraId="4E5F0BE1" w14:textId="77777777" w:rsidTr="00424BBB">
        <w:trPr>
          <w:trHeight w:val="15"/>
        </w:trPr>
        <w:tc>
          <w:tcPr>
            <w:tcW w:w="848" w:type="dxa"/>
            <w:vMerge/>
            <w:vAlign w:val="center"/>
            <w:hideMark/>
          </w:tcPr>
          <w:p w14:paraId="6CA4F406"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0F3273E8" w14:textId="77777777" w:rsidR="00AF0870" w:rsidRPr="00694B06" w:rsidRDefault="00AF0870" w:rsidP="00D65653">
            <w:pPr>
              <w:pStyle w:val="DataTable"/>
              <w:rPr>
                <w:i/>
                <w:iCs/>
                <w:sz w:val="23"/>
                <w:szCs w:val="23"/>
              </w:rPr>
            </w:pPr>
            <w:r w:rsidRPr="00694B06">
              <w:rPr>
                <w:sz w:val="23"/>
                <w:szCs w:val="23"/>
              </w:rPr>
              <w:t>Indiana Residents</w:t>
            </w:r>
          </w:p>
        </w:tc>
        <w:tc>
          <w:tcPr>
            <w:tcW w:w="972" w:type="dxa"/>
            <w:shd w:val="clear" w:color="auto" w:fill="FFFFFF" w:themeFill="background1"/>
            <w:noWrap/>
            <w:vAlign w:val="bottom"/>
            <w:hideMark/>
          </w:tcPr>
          <w:p w14:paraId="1D954A26" w14:textId="77777777" w:rsidR="00AF0870" w:rsidRPr="00694B06" w:rsidRDefault="00AF0870" w:rsidP="00AC0778">
            <w:pPr>
              <w:pStyle w:val="DataTable"/>
              <w:jc w:val="center"/>
              <w:rPr>
                <w:i/>
                <w:iCs/>
                <w:sz w:val="23"/>
                <w:szCs w:val="23"/>
              </w:rPr>
            </w:pPr>
            <w:r w:rsidRPr="00694B06">
              <w:rPr>
                <w:sz w:val="23"/>
                <w:szCs w:val="23"/>
              </w:rPr>
              <w:t>4257</w:t>
            </w:r>
          </w:p>
        </w:tc>
        <w:tc>
          <w:tcPr>
            <w:tcW w:w="1019" w:type="dxa"/>
            <w:shd w:val="clear" w:color="auto" w:fill="FFFFFF" w:themeFill="background1"/>
            <w:noWrap/>
            <w:vAlign w:val="center"/>
            <w:hideMark/>
          </w:tcPr>
          <w:p w14:paraId="034A567F" w14:textId="77777777" w:rsidR="00AF0870" w:rsidRPr="00694B06" w:rsidRDefault="00AF0870" w:rsidP="00AC0778">
            <w:pPr>
              <w:pStyle w:val="DataTable"/>
              <w:jc w:val="center"/>
              <w:rPr>
                <w:i/>
                <w:iCs/>
                <w:sz w:val="23"/>
                <w:szCs w:val="23"/>
              </w:rPr>
            </w:pPr>
            <w:r w:rsidRPr="00694B06">
              <w:rPr>
                <w:sz w:val="23"/>
                <w:szCs w:val="23"/>
              </w:rPr>
              <w:t>91.8%</w:t>
            </w:r>
          </w:p>
        </w:tc>
        <w:tc>
          <w:tcPr>
            <w:tcW w:w="948" w:type="dxa"/>
            <w:shd w:val="clear" w:color="auto" w:fill="FFFFFF" w:themeFill="background1"/>
            <w:noWrap/>
            <w:vAlign w:val="center"/>
            <w:hideMark/>
          </w:tcPr>
          <w:p w14:paraId="55E4EC93" w14:textId="77777777" w:rsidR="00AF0870" w:rsidRPr="00694B06" w:rsidRDefault="00AF0870" w:rsidP="00AC0778">
            <w:pPr>
              <w:pStyle w:val="DataTable"/>
              <w:jc w:val="center"/>
              <w:rPr>
                <w:i/>
                <w:iCs/>
                <w:sz w:val="23"/>
                <w:szCs w:val="23"/>
              </w:rPr>
            </w:pPr>
            <w:r w:rsidRPr="00694B06">
              <w:rPr>
                <w:sz w:val="23"/>
                <w:szCs w:val="23"/>
              </w:rPr>
              <w:t>88.2%</w:t>
            </w:r>
          </w:p>
        </w:tc>
        <w:tc>
          <w:tcPr>
            <w:tcW w:w="1044" w:type="dxa"/>
            <w:gridSpan w:val="2"/>
            <w:noWrap/>
            <w:vAlign w:val="center"/>
            <w:hideMark/>
          </w:tcPr>
          <w:p w14:paraId="4A54A436" w14:textId="4ADFF414" w:rsidR="00AF0870" w:rsidRPr="00694B06" w:rsidRDefault="00AF0870" w:rsidP="00AC0778">
            <w:pPr>
              <w:pStyle w:val="DataTable"/>
              <w:jc w:val="center"/>
              <w:rPr>
                <w:i/>
                <w:iCs/>
                <w:sz w:val="23"/>
                <w:szCs w:val="23"/>
              </w:rPr>
            </w:pPr>
            <w:r w:rsidRPr="00694B06">
              <w:rPr>
                <w:sz w:val="23"/>
                <w:szCs w:val="23"/>
              </w:rPr>
              <w:t>80.3%</w:t>
            </w:r>
          </w:p>
        </w:tc>
        <w:tc>
          <w:tcPr>
            <w:tcW w:w="979" w:type="dxa"/>
            <w:shd w:val="clear" w:color="000000" w:fill="000000"/>
            <w:noWrap/>
            <w:vAlign w:val="center"/>
            <w:hideMark/>
          </w:tcPr>
          <w:p w14:paraId="2C2C902C" w14:textId="0CA38281"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44A3B8AF" w14:textId="77D23D2A"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57F0DD1A" w14:textId="57817E33" w:rsidR="00AF0870" w:rsidRPr="00694B06" w:rsidRDefault="00AF0870" w:rsidP="00AC0778">
            <w:pPr>
              <w:pStyle w:val="DataTable"/>
              <w:jc w:val="center"/>
              <w:rPr>
                <w:i/>
                <w:iCs/>
                <w:sz w:val="23"/>
                <w:szCs w:val="23"/>
              </w:rPr>
            </w:pPr>
          </w:p>
        </w:tc>
      </w:tr>
      <w:tr w:rsidR="00AF0870" w:rsidRPr="00694B06" w14:paraId="79784F1F" w14:textId="77777777" w:rsidTr="00424BBB">
        <w:trPr>
          <w:trHeight w:val="15"/>
        </w:trPr>
        <w:tc>
          <w:tcPr>
            <w:tcW w:w="848" w:type="dxa"/>
            <w:vMerge/>
            <w:vAlign w:val="center"/>
            <w:hideMark/>
          </w:tcPr>
          <w:p w14:paraId="2F57A3FC" w14:textId="77777777" w:rsidR="00AF0870" w:rsidRPr="00694B06" w:rsidRDefault="00AF0870" w:rsidP="00D65653">
            <w:pPr>
              <w:pStyle w:val="DataTable"/>
              <w:rPr>
                <w:i/>
                <w:iCs/>
                <w:sz w:val="23"/>
                <w:szCs w:val="23"/>
              </w:rPr>
            </w:pPr>
          </w:p>
        </w:tc>
        <w:tc>
          <w:tcPr>
            <w:tcW w:w="2089" w:type="dxa"/>
            <w:shd w:val="clear" w:color="000000" w:fill="FFFFFF"/>
            <w:noWrap/>
            <w:vAlign w:val="bottom"/>
            <w:hideMark/>
          </w:tcPr>
          <w:p w14:paraId="503ACDF1" w14:textId="77777777" w:rsidR="00AF0870" w:rsidRPr="00694B06" w:rsidRDefault="00AF0870" w:rsidP="00D65653">
            <w:pPr>
              <w:pStyle w:val="DataTable"/>
              <w:rPr>
                <w:i/>
                <w:iCs/>
                <w:sz w:val="23"/>
                <w:szCs w:val="23"/>
              </w:rPr>
            </w:pPr>
            <w:r w:rsidRPr="00694B06">
              <w:rPr>
                <w:sz w:val="23"/>
                <w:szCs w:val="23"/>
              </w:rPr>
              <w:t>University Rate</w:t>
            </w:r>
          </w:p>
        </w:tc>
        <w:tc>
          <w:tcPr>
            <w:tcW w:w="972" w:type="dxa"/>
            <w:shd w:val="clear" w:color="auto" w:fill="FFFFFF" w:themeFill="background1"/>
            <w:noWrap/>
            <w:vAlign w:val="bottom"/>
            <w:hideMark/>
          </w:tcPr>
          <w:p w14:paraId="7AFB76C1" w14:textId="77777777" w:rsidR="00AF0870" w:rsidRPr="00694B06" w:rsidRDefault="00AF0870" w:rsidP="00AC0778">
            <w:pPr>
              <w:pStyle w:val="DataTable"/>
              <w:jc w:val="center"/>
              <w:rPr>
                <w:i/>
                <w:iCs/>
                <w:sz w:val="23"/>
                <w:szCs w:val="23"/>
              </w:rPr>
            </w:pPr>
            <w:r w:rsidRPr="00694B06">
              <w:rPr>
                <w:sz w:val="23"/>
                <w:szCs w:val="23"/>
              </w:rPr>
              <w:t>9275</w:t>
            </w:r>
          </w:p>
        </w:tc>
        <w:tc>
          <w:tcPr>
            <w:tcW w:w="1019" w:type="dxa"/>
            <w:shd w:val="clear" w:color="auto" w:fill="FFFFFF" w:themeFill="background1"/>
            <w:noWrap/>
            <w:vAlign w:val="center"/>
            <w:hideMark/>
          </w:tcPr>
          <w:p w14:paraId="1C07D303" w14:textId="77777777" w:rsidR="00AF0870" w:rsidRPr="00694B06" w:rsidRDefault="00AF0870" w:rsidP="00AC0778">
            <w:pPr>
              <w:pStyle w:val="DataTable"/>
              <w:jc w:val="center"/>
              <w:rPr>
                <w:i/>
                <w:iCs/>
                <w:sz w:val="23"/>
                <w:szCs w:val="23"/>
              </w:rPr>
            </w:pPr>
            <w:r w:rsidRPr="00694B06">
              <w:rPr>
                <w:sz w:val="23"/>
                <w:szCs w:val="23"/>
              </w:rPr>
              <w:t>92.3%</w:t>
            </w:r>
          </w:p>
        </w:tc>
        <w:tc>
          <w:tcPr>
            <w:tcW w:w="948" w:type="dxa"/>
            <w:shd w:val="clear" w:color="auto" w:fill="FFFFFF" w:themeFill="background1"/>
            <w:noWrap/>
            <w:vAlign w:val="center"/>
            <w:hideMark/>
          </w:tcPr>
          <w:p w14:paraId="7336C82B" w14:textId="77777777" w:rsidR="00AF0870" w:rsidRPr="00694B06" w:rsidRDefault="00AF0870" w:rsidP="00AC0778">
            <w:pPr>
              <w:pStyle w:val="DataTable"/>
              <w:jc w:val="center"/>
              <w:rPr>
                <w:i/>
                <w:iCs/>
                <w:sz w:val="23"/>
                <w:szCs w:val="23"/>
              </w:rPr>
            </w:pPr>
            <w:r w:rsidRPr="00694B06">
              <w:rPr>
                <w:sz w:val="23"/>
                <w:szCs w:val="23"/>
              </w:rPr>
              <w:t>89.2%</w:t>
            </w:r>
          </w:p>
        </w:tc>
        <w:tc>
          <w:tcPr>
            <w:tcW w:w="1044" w:type="dxa"/>
            <w:gridSpan w:val="2"/>
            <w:noWrap/>
            <w:vAlign w:val="center"/>
            <w:hideMark/>
          </w:tcPr>
          <w:p w14:paraId="17AA0EA9" w14:textId="1DD353CE" w:rsidR="00AF0870" w:rsidRPr="00694B06" w:rsidRDefault="00AF0870" w:rsidP="00AC0778">
            <w:pPr>
              <w:pStyle w:val="DataTable"/>
              <w:jc w:val="center"/>
              <w:rPr>
                <w:i/>
                <w:iCs/>
                <w:sz w:val="23"/>
                <w:szCs w:val="23"/>
              </w:rPr>
            </w:pPr>
            <w:r w:rsidRPr="00694B06">
              <w:rPr>
                <w:sz w:val="23"/>
                <w:szCs w:val="23"/>
              </w:rPr>
              <w:t>82.2%</w:t>
            </w:r>
          </w:p>
        </w:tc>
        <w:tc>
          <w:tcPr>
            <w:tcW w:w="979" w:type="dxa"/>
            <w:shd w:val="clear" w:color="000000" w:fill="000000"/>
            <w:noWrap/>
            <w:vAlign w:val="center"/>
            <w:hideMark/>
          </w:tcPr>
          <w:p w14:paraId="720138BE" w14:textId="4F42C12E"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33EAB893" w14:textId="4EF9D628"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4EB7BA71" w14:textId="61998B34" w:rsidR="00AF0870" w:rsidRPr="00694B06" w:rsidRDefault="00AF0870" w:rsidP="00AC0778">
            <w:pPr>
              <w:pStyle w:val="DataTable"/>
              <w:jc w:val="center"/>
              <w:rPr>
                <w:i/>
                <w:iCs/>
                <w:sz w:val="23"/>
                <w:szCs w:val="23"/>
              </w:rPr>
            </w:pPr>
          </w:p>
        </w:tc>
      </w:tr>
      <w:tr w:rsidR="00AF0870" w:rsidRPr="00694B06" w14:paraId="71D29E63" w14:textId="77777777" w:rsidTr="00424BBB">
        <w:trPr>
          <w:trHeight w:val="15"/>
        </w:trPr>
        <w:tc>
          <w:tcPr>
            <w:tcW w:w="848" w:type="dxa"/>
            <w:vMerge w:val="restart"/>
            <w:shd w:val="clear" w:color="000000" w:fill="D9D9D9"/>
            <w:noWrap/>
            <w:vAlign w:val="center"/>
            <w:hideMark/>
          </w:tcPr>
          <w:p w14:paraId="178062CF" w14:textId="77777777" w:rsidR="00AF0870" w:rsidRPr="00694B06" w:rsidRDefault="00AF0870" w:rsidP="00D65653">
            <w:pPr>
              <w:pStyle w:val="DataTable"/>
              <w:rPr>
                <w:i/>
                <w:iCs/>
                <w:sz w:val="23"/>
                <w:szCs w:val="23"/>
              </w:rPr>
            </w:pPr>
            <w:r w:rsidRPr="00694B06">
              <w:rPr>
                <w:sz w:val="23"/>
                <w:szCs w:val="23"/>
              </w:rPr>
              <w:t>2023</w:t>
            </w:r>
          </w:p>
        </w:tc>
        <w:tc>
          <w:tcPr>
            <w:tcW w:w="2089" w:type="dxa"/>
            <w:shd w:val="clear" w:color="000000" w:fill="D9D9D9"/>
            <w:noWrap/>
            <w:vAlign w:val="bottom"/>
            <w:hideMark/>
          </w:tcPr>
          <w:p w14:paraId="335B4D22"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shd w:val="clear" w:color="auto" w:fill="D9D9D9" w:themeFill="background1" w:themeFillShade="D9"/>
            <w:noWrap/>
            <w:vAlign w:val="bottom"/>
            <w:hideMark/>
          </w:tcPr>
          <w:p w14:paraId="50AAD217" w14:textId="77777777" w:rsidR="00AF0870" w:rsidRPr="00694B06" w:rsidRDefault="00AF0870" w:rsidP="00AC0778">
            <w:pPr>
              <w:pStyle w:val="DataTable"/>
              <w:jc w:val="center"/>
              <w:rPr>
                <w:i/>
                <w:iCs/>
                <w:sz w:val="23"/>
                <w:szCs w:val="23"/>
              </w:rPr>
            </w:pPr>
            <w:r w:rsidRPr="00694B06">
              <w:rPr>
                <w:sz w:val="23"/>
                <w:szCs w:val="23"/>
              </w:rPr>
              <w:t>250</w:t>
            </w:r>
          </w:p>
        </w:tc>
        <w:tc>
          <w:tcPr>
            <w:tcW w:w="1019" w:type="dxa"/>
            <w:shd w:val="clear" w:color="auto" w:fill="FFF2CC" w:themeFill="accent4" w:themeFillTint="33"/>
            <w:noWrap/>
            <w:vAlign w:val="center"/>
            <w:hideMark/>
          </w:tcPr>
          <w:p w14:paraId="444A93CC" w14:textId="77777777" w:rsidR="00AF0870" w:rsidRPr="00694B06" w:rsidRDefault="00AF0870" w:rsidP="00AC0778">
            <w:pPr>
              <w:pStyle w:val="DataTable"/>
              <w:jc w:val="center"/>
              <w:rPr>
                <w:i/>
                <w:iCs/>
                <w:sz w:val="23"/>
                <w:szCs w:val="23"/>
              </w:rPr>
            </w:pPr>
            <w:r w:rsidRPr="00694B06">
              <w:rPr>
                <w:sz w:val="23"/>
                <w:szCs w:val="23"/>
              </w:rPr>
              <w:t>85.6%</w:t>
            </w:r>
          </w:p>
        </w:tc>
        <w:tc>
          <w:tcPr>
            <w:tcW w:w="948" w:type="dxa"/>
            <w:shd w:val="clear" w:color="auto" w:fill="FFF2CC" w:themeFill="accent4" w:themeFillTint="33"/>
            <w:noWrap/>
            <w:vAlign w:val="center"/>
            <w:hideMark/>
          </w:tcPr>
          <w:p w14:paraId="7C14D1F9" w14:textId="5A7E3F74" w:rsidR="00AF0870" w:rsidRPr="00694B06" w:rsidRDefault="00AF0870" w:rsidP="00AC0778">
            <w:pPr>
              <w:pStyle w:val="DataTable"/>
              <w:jc w:val="center"/>
              <w:rPr>
                <w:i/>
                <w:iCs/>
                <w:sz w:val="23"/>
                <w:szCs w:val="23"/>
              </w:rPr>
            </w:pPr>
            <w:r w:rsidRPr="00694B06">
              <w:rPr>
                <w:sz w:val="23"/>
                <w:szCs w:val="23"/>
              </w:rPr>
              <w:t>81.6%</w:t>
            </w:r>
          </w:p>
        </w:tc>
        <w:tc>
          <w:tcPr>
            <w:tcW w:w="1044" w:type="dxa"/>
            <w:gridSpan w:val="2"/>
            <w:shd w:val="clear" w:color="000000" w:fill="000000"/>
            <w:noWrap/>
            <w:vAlign w:val="center"/>
            <w:hideMark/>
          </w:tcPr>
          <w:p w14:paraId="45C827A1" w14:textId="38551EC1" w:rsidR="00AF0870" w:rsidRPr="00694B06" w:rsidRDefault="00AF0870" w:rsidP="00AC0778">
            <w:pPr>
              <w:pStyle w:val="DataTable"/>
              <w:jc w:val="center"/>
              <w:rPr>
                <w:i/>
                <w:iCs/>
                <w:sz w:val="23"/>
                <w:szCs w:val="23"/>
              </w:rPr>
            </w:pPr>
          </w:p>
        </w:tc>
        <w:tc>
          <w:tcPr>
            <w:tcW w:w="979" w:type="dxa"/>
            <w:shd w:val="clear" w:color="000000" w:fill="000000"/>
            <w:noWrap/>
            <w:vAlign w:val="center"/>
            <w:hideMark/>
          </w:tcPr>
          <w:p w14:paraId="2AA5342A" w14:textId="3489B53F"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1ECEFF95" w14:textId="21FAF147"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062FC62F" w14:textId="3306FDE5" w:rsidR="00AF0870" w:rsidRPr="00694B06" w:rsidRDefault="00AF0870" w:rsidP="00AC0778">
            <w:pPr>
              <w:pStyle w:val="DataTable"/>
              <w:jc w:val="center"/>
              <w:rPr>
                <w:i/>
                <w:iCs/>
                <w:sz w:val="23"/>
                <w:szCs w:val="23"/>
              </w:rPr>
            </w:pPr>
          </w:p>
        </w:tc>
      </w:tr>
      <w:tr w:rsidR="00AF0870" w:rsidRPr="00694B06" w14:paraId="6C04F72D" w14:textId="77777777" w:rsidTr="00424BBB">
        <w:trPr>
          <w:trHeight w:val="15"/>
        </w:trPr>
        <w:tc>
          <w:tcPr>
            <w:tcW w:w="848" w:type="dxa"/>
            <w:vMerge/>
            <w:vAlign w:val="center"/>
            <w:hideMark/>
          </w:tcPr>
          <w:p w14:paraId="38132757"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51D8F352" w14:textId="77777777" w:rsidR="00AF0870" w:rsidRPr="00694B06" w:rsidRDefault="00AF0870" w:rsidP="00D65653">
            <w:pPr>
              <w:pStyle w:val="DataTable"/>
              <w:rPr>
                <w:i/>
                <w:iCs/>
                <w:sz w:val="23"/>
                <w:szCs w:val="23"/>
              </w:rPr>
            </w:pPr>
            <w:r w:rsidRPr="00694B06">
              <w:rPr>
                <w:sz w:val="23"/>
                <w:szCs w:val="23"/>
              </w:rPr>
              <w:t>TfCS only</w:t>
            </w:r>
          </w:p>
        </w:tc>
        <w:tc>
          <w:tcPr>
            <w:tcW w:w="972" w:type="dxa"/>
            <w:shd w:val="clear" w:color="auto" w:fill="D9D9D9" w:themeFill="background1" w:themeFillShade="D9"/>
            <w:noWrap/>
            <w:vAlign w:val="bottom"/>
            <w:hideMark/>
          </w:tcPr>
          <w:p w14:paraId="0AFB6BE8" w14:textId="77777777" w:rsidR="00AF0870" w:rsidRPr="00694B06" w:rsidRDefault="00AF0870" w:rsidP="00AC0778">
            <w:pPr>
              <w:pStyle w:val="DataTable"/>
              <w:jc w:val="center"/>
              <w:rPr>
                <w:i/>
                <w:iCs/>
                <w:sz w:val="23"/>
                <w:szCs w:val="23"/>
              </w:rPr>
            </w:pPr>
            <w:r w:rsidRPr="00694B06">
              <w:rPr>
                <w:sz w:val="23"/>
                <w:szCs w:val="23"/>
              </w:rPr>
              <w:t>138</w:t>
            </w:r>
          </w:p>
        </w:tc>
        <w:tc>
          <w:tcPr>
            <w:tcW w:w="1019" w:type="dxa"/>
            <w:shd w:val="clear" w:color="auto" w:fill="D9D9D9" w:themeFill="background1" w:themeFillShade="D9"/>
            <w:noWrap/>
            <w:vAlign w:val="center"/>
            <w:hideMark/>
          </w:tcPr>
          <w:p w14:paraId="6A6751F6" w14:textId="77777777" w:rsidR="00AF0870" w:rsidRPr="00694B06" w:rsidRDefault="00AF0870" w:rsidP="00AC0778">
            <w:pPr>
              <w:pStyle w:val="DataTable"/>
              <w:jc w:val="center"/>
              <w:rPr>
                <w:i/>
                <w:iCs/>
                <w:sz w:val="23"/>
                <w:szCs w:val="23"/>
              </w:rPr>
            </w:pPr>
            <w:r w:rsidRPr="00694B06">
              <w:rPr>
                <w:sz w:val="23"/>
                <w:szCs w:val="23"/>
              </w:rPr>
              <w:t>82.6%</w:t>
            </w:r>
          </w:p>
        </w:tc>
        <w:tc>
          <w:tcPr>
            <w:tcW w:w="948" w:type="dxa"/>
            <w:shd w:val="clear" w:color="auto" w:fill="D9D9D9" w:themeFill="background1" w:themeFillShade="D9"/>
            <w:noWrap/>
            <w:vAlign w:val="center"/>
            <w:hideMark/>
          </w:tcPr>
          <w:p w14:paraId="18C02A6E" w14:textId="2E471083" w:rsidR="00AF0870" w:rsidRPr="00694B06" w:rsidRDefault="00AF0870" w:rsidP="00AC0778">
            <w:pPr>
              <w:pStyle w:val="DataTable"/>
              <w:jc w:val="center"/>
              <w:rPr>
                <w:i/>
                <w:iCs/>
                <w:sz w:val="23"/>
                <w:szCs w:val="23"/>
              </w:rPr>
            </w:pPr>
            <w:r w:rsidRPr="00694B06">
              <w:rPr>
                <w:sz w:val="23"/>
                <w:szCs w:val="23"/>
              </w:rPr>
              <w:t>81.2%</w:t>
            </w:r>
          </w:p>
        </w:tc>
        <w:tc>
          <w:tcPr>
            <w:tcW w:w="1044" w:type="dxa"/>
            <w:gridSpan w:val="2"/>
            <w:shd w:val="clear" w:color="000000" w:fill="000000"/>
            <w:noWrap/>
            <w:vAlign w:val="center"/>
            <w:hideMark/>
          </w:tcPr>
          <w:p w14:paraId="1F286C32" w14:textId="77512EA7" w:rsidR="00AF0870" w:rsidRPr="00694B06" w:rsidRDefault="00AF0870" w:rsidP="00AC0778">
            <w:pPr>
              <w:pStyle w:val="DataTable"/>
              <w:jc w:val="center"/>
              <w:rPr>
                <w:i/>
                <w:iCs/>
                <w:sz w:val="23"/>
                <w:szCs w:val="23"/>
              </w:rPr>
            </w:pPr>
          </w:p>
        </w:tc>
        <w:tc>
          <w:tcPr>
            <w:tcW w:w="979" w:type="dxa"/>
            <w:shd w:val="clear" w:color="000000" w:fill="000000"/>
            <w:noWrap/>
            <w:vAlign w:val="center"/>
            <w:hideMark/>
          </w:tcPr>
          <w:p w14:paraId="6CCB7069" w14:textId="0077BE4C"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53A45977" w14:textId="0CCC2661"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630904AB" w14:textId="0EE916A2" w:rsidR="00AF0870" w:rsidRPr="00694B06" w:rsidRDefault="00AF0870" w:rsidP="00AC0778">
            <w:pPr>
              <w:pStyle w:val="DataTable"/>
              <w:jc w:val="center"/>
              <w:rPr>
                <w:i/>
                <w:iCs/>
                <w:sz w:val="23"/>
                <w:szCs w:val="23"/>
              </w:rPr>
            </w:pPr>
          </w:p>
        </w:tc>
      </w:tr>
      <w:tr w:rsidR="00AF0870" w:rsidRPr="00694B06" w14:paraId="6DEE607D" w14:textId="77777777" w:rsidTr="00424BBB">
        <w:trPr>
          <w:trHeight w:val="15"/>
        </w:trPr>
        <w:tc>
          <w:tcPr>
            <w:tcW w:w="848" w:type="dxa"/>
            <w:vMerge/>
            <w:vAlign w:val="center"/>
            <w:hideMark/>
          </w:tcPr>
          <w:p w14:paraId="158B5823"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1DC0E1A7" w14:textId="77777777" w:rsidR="00AF0870" w:rsidRPr="00694B06" w:rsidRDefault="00AF0870" w:rsidP="00D65653">
            <w:pPr>
              <w:pStyle w:val="DataTable"/>
              <w:rPr>
                <w:i/>
                <w:iCs/>
                <w:sz w:val="23"/>
                <w:szCs w:val="23"/>
              </w:rPr>
            </w:pPr>
            <w:r w:rsidRPr="00694B06">
              <w:rPr>
                <w:sz w:val="23"/>
                <w:szCs w:val="23"/>
              </w:rPr>
              <w:t>Pell Eligible only</w:t>
            </w:r>
          </w:p>
        </w:tc>
        <w:tc>
          <w:tcPr>
            <w:tcW w:w="972" w:type="dxa"/>
            <w:shd w:val="clear" w:color="auto" w:fill="D9D9D9" w:themeFill="background1" w:themeFillShade="D9"/>
            <w:noWrap/>
            <w:vAlign w:val="bottom"/>
            <w:hideMark/>
          </w:tcPr>
          <w:p w14:paraId="0B9D7A38" w14:textId="77777777" w:rsidR="00AF0870" w:rsidRPr="00694B06" w:rsidRDefault="00AF0870" w:rsidP="00AC0778">
            <w:pPr>
              <w:pStyle w:val="DataTable"/>
              <w:jc w:val="center"/>
              <w:rPr>
                <w:i/>
                <w:iCs/>
                <w:sz w:val="23"/>
                <w:szCs w:val="23"/>
              </w:rPr>
            </w:pPr>
            <w:r w:rsidRPr="00694B06">
              <w:rPr>
                <w:sz w:val="23"/>
                <w:szCs w:val="23"/>
              </w:rPr>
              <w:t>807</w:t>
            </w:r>
          </w:p>
        </w:tc>
        <w:tc>
          <w:tcPr>
            <w:tcW w:w="1019" w:type="dxa"/>
            <w:shd w:val="clear" w:color="auto" w:fill="D9D9D9" w:themeFill="background1" w:themeFillShade="D9"/>
            <w:noWrap/>
            <w:vAlign w:val="center"/>
            <w:hideMark/>
          </w:tcPr>
          <w:p w14:paraId="336672D0" w14:textId="77777777" w:rsidR="00AF0870" w:rsidRPr="00694B06" w:rsidRDefault="00AF0870" w:rsidP="00AC0778">
            <w:pPr>
              <w:pStyle w:val="DataTable"/>
              <w:jc w:val="center"/>
              <w:rPr>
                <w:i/>
                <w:iCs/>
                <w:sz w:val="23"/>
                <w:szCs w:val="23"/>
              </w:rPr>
            </w:pPr>
            <w:r w:rsidRPr="00694B06">
              <w:rPr>
                <w:sz w:val="23"/>
                <w:szCs w:val="23"/>
              </w:rPr>
              <w:t>88.7%</w:t>
            </w:r>
          </w:p>
        </w:tc>
        <w:tc>
          <w:tcPr>
            <w:tcW w:w="948" w:type="dxa"/>
            <w:shd w:val="clear" w:color="auto" w:fill="D9D9D9" w:themeFill="background1" w:themeFillShade="D9"/>
            <w:noWrap/>
            <w:vAlign w:val="center"/>
            <w:hideMark/>
          </w:tcPr>
          <w:p w14:paraId="7C4F5F70" w14:textId="1F15F718" w:rsidR="00AF0870" w:rsidRPr="00694B06" w:rsidRDefault="00AF0870" w:rsidP="00AC0778">
            <w:pPr>
              <w:pStyle w:val="DataTable"/>
              <w:jc w:val="center"/>
              <w:rPr>
                <w:i/>
                <w:iCs/>
                <w:sz w:val="23"/>
                <w:szCs w:val="23"/>
              </w:rPr>
            </w:pPr>
            <w:r w:rsidRPr="00694B06">
              <w:rPr>
                <w:sz w:val="23"/>
                <w:szCs w:val="23"/>
              </w:rPr>
              <w:t>82.5%</w:t>
            </w:r>
          </w:p>
        </w:tc>
        <w:tc>
          <w:tcPr>
            <w:tcW w:w="1044" w:type="dxa"/>
            <w:gridSpan w:val="2"/>
            <w:shd w:val="clear" w:color="000000" w:fill="000000"/>
            <w:noWrap/>
            <w:vAlign w:val="center"/>
            <w:hideMark/>
          </w:tcPr>
          <w:p w14:paraId="0C0D4FA4" w14:textId="28B51253" w:rsidR="00AF0870" w:rsidRPr="00694B06" w:rsidRDefault="00AF0870" w:rsidP="00AC0778">
            <w:pPr>
              <w:pStyle w:val="DataTable"/>
              <w:jc w:val="center"/>
              <w:rPr>
                <w:i/>
                <w:iCs/>
                <w:sz w:val="23"/>
                <w:szCs w:val="23"/>
              </w:rPr>
            </w:pPr>
          </w:p>
        </w:tc>
        <w:tc>
          <w:tcPr>
            <w:tcW w:w="979" w:type="dxa"/>
            <w:shd w:val="clear" w:color="000000" w:fill="000000"/>
            <w:noWrap/>
            <w:vAlign w:val="center"/>
            <w:hideMark/>
          </w:tcPr>
          <w:p w14:paraId="75B4F51B" w14:textId="458CB7A2" w:rsidR="00AF0870" w:rsidRPr="00694B06" w:rsidRDefault="00AF0870" w:rsidP="00AC0778">
            <w:pPr>
              <w:pStyle w:val="DataTable"/>
              <w:jc w:val="center"/>
              <w:rPr>
                <w:i/>
                <w:iCs/>
                <w:sz w:val="23"/>
                <w:szCs w:val="23"/>
              </w:rPr>
            </w:pPr>
          </w:p>
        </w:tc>
        <w:tc>
          <w:tcPr>
            <w:tcW w:w="1108" w:type="dxa"/>
            <w:gridSpan w:val="2"/>
            <w:shd w:val="clear" w:color="000000" w:fill="000000"/>
            <w:noWrap/>
            <w:vAlign w:val="center"/>
            <w:hideMark/>
          </w:tcPr>
          <w:p w14:paraId="3A2C054B" w14:textId="426D89E5" w:rsidR="00AF0870" w:rsidRPr="00694B06" w:rsidRDefault="00AF0870" w:rsidP="00AC0778">
            <w:pPr>
              <w:pStyle w:val="DataTable"/>
              <w:jc w:val="center"/>
              <w:rPr>
                <w:i/>
                <w:iCs/>
                <w:sz w:val="23"/>
                <w:szCs w:val="23"/>
              </w:rPr>
            </w:pPr>
          </w:p>
        </w:tc>
        <w:tc>
          <w:tcPr>
            <w:tcW w:w="1062" w:type="dxa"/>
            <w:gridSpan w:val="2"/>
            <w:shd w:val="clear" w:color="000000" w:fill="000000"/>
            <w:noWrap/>
            <w:vAlign w:val="center"/>
            <w:hideMark/>
          </w:tcPr>
          <w:p w14:paraId="45D3EB15" w14:textId="7F4FF5A6" w:rsidR="00AF0870" w:rsidRPr="00694B06" w:rsidRDefault="00AF0870" w:rsidP="00AC0778">
            <w:pPr>
              <w:pStyle w:val="DataTable"/>
              <w:jc w:val="center"/>
              <w:rPr>
                <w:i/>
                <w:iCs/>
                <w:sz w:val="23"/>
                <w:szCs w:val="23"/>
              </w:rPr>
            </w:pPr>
          </w:p>
        </w:tc>
      </w:tr>
      <w:tr w:rsidR="00AF0870" w:rsidRPr="00694B06" w14:paraId="22C3885A" w14:textId="77777777" w:rsidTr="00424BBB">
        <w:trPr>
          <w:trHeight w:val="15"/>
        </w:trPr>
        <w:tc>
          <w:tcPr>
            <w:tcW w:w="848" w:type="dxa"/>
            <w:vMerge/>
            <w:vAlign w:val="center"/>
            <w:hideMark/>
          </w:tcPr>
          <w:p w14:paraId="6CF88FC5" w14:textId="77777777" w:rsidR="00AF0870" w:rsidRPr="00694B06" w:rsidRDefault="00AF0870" w:rsidP="00D65653">
            <w:pPr>
              <w:pStyle w:val="DataTable"/>
              <w:rPr>
                <w:i/>
                <w:iCs/>
                <w:sz w:val="23"/>
                <w:szCs w:val="23"/>
              </w:rPr>
            </w:pPr>
          </w:p>
        </w:tc>
        <w:tc>
          <w:tcPr>
            <w:tcW w:w="2089" w:type="dxa"/>
            <w:shd w:val="clear" w:color="000000" w:fill="D9D9D9"/>
            <w:noWrap/>
            <w:vAlign w:val="bottom"/>
            <w:hideMark/>
          </w:tcPr>
          <w:p w14:paraId="16B07C38" w14:textId="77777777" w:rsidR="00AF0870" w:rsidRPr="00694B06" w:rsidRDefault="00AF0870" w:rsidP="00D65653">
            <w:pPr>
              <w:pStyle w:val="DataTable"/>
              <w:rPr>
                <w:i/>
                <w:iCs/>
                <w:sz w:val="23"/>
                <w:szCs w:val="23"/>
              </w:rPr>
            </w:pPr>
            <w:r w:rsidRPr="00694B06">
              <w:rPr>
                <w:sz w:val="23"/>
                <w:szCs w:val="23"/>
              </w:rPr>
              <w:t>Indiana Residents</w:t>
            </w:r>
          </w:p>
        </w:tc>
        <w:tc>
          <w:tcPr>
            <w:tcW w:w="972" w:type="dxa"/>
            <w:shd w:val="clear" w:color="auto" w:fill="D9D9D9" w:themeFill="background1" w:themeFillShade="D9"/>
            <w:noWrap/>
            <w:vAlign w:val="bottom"/>
            <w:hideMark/>
          </w:tcPr>
          <w:p w14:paraId="0B9A295E" w14:textId="77777777" w:rsidR="00AF0870" w:rsidRPr="00694B06" w:rsidRDefault="00AF0870" w:rsidP="00AC0778">
            <w:pPr>
              <w:pStyle w:val="DataTable"/>
              <w:jc w:val="center"/>
              <w:rPr>
                <w:i/>
                <w:iCs/>
                <w:sz w:val="23"/>
                <w:szCs w:val="23"/>
              </w:rPr>
            </w:pPr>
            <w:r w:rsidRPr="00694B06">
              <w:rPr>
                <w:sz w:val="23"/>
                <w:szCs w:val="23"/>
              </w:rPr>
              <w:t>4187</w:t>
            </w:r>
          </w:p>
        </w:tc>
        <w:tc>
          <w:tcPr>
            <w:tcW w:w="1019" w:type="dxa"/>
            <w:shd w:val="clear" w:color="auto" w:fill="D9D9D9" w:themeFill="background1" w:themeFillShade="D9"/>
            <w:noWrap/>
            <w:vAlign w:val="center"/>
            <w:hideMark/>
          </w:tcPr>
          <w:p w14:paraId="3431B764" w14:textId="77777777" w:rsidR="00AF0870" w:rsidRPr="00694B06" w:rsidRDefault="00AF0870" w:rsidP="00AC0778">
            <w:pPr>
              <w:pStyle w:val="DataTable"/>
              <w:jc w:val="center"/>
              <w:rPr>
                <w:i/>
                <w:iCs/>
                <w:sz w:val="23"/>
                <w:szCs w:val="23"/>
              </w:rPr>
            </w:pPr>
            <w:r w:rsidRPr="00694B06">
              <w:rPr>
                <w:sz w:val="23"/>
                <w:szCs w:val="23"/>
              </w:rPr>
              <w:t>92.1%</w:t>
            </w:r>
          </w:p>
        </w:tc>
        <w:tc>
          <w:tcPr>
            <w:tcW w:w="948" w:type="dxa"/>
            <w:shd w:val="clear" w:color="auto" w:fill="D9D9D9" w:themeFill="background1" w:themeFillShade="D9"/>
            <w:noWrap/>
            <w:vAlign w:val="center"/>
            <w:hideMark/>
          </w:tcPr>
          <w:p w14:paraId="725552AA" w14:textId="398FCAE1" w:rsidR="00AF0870" w:rsidRPr="00694B06" w:rsidRDefault="00AF0870" w:rsidP="00AC0778">
            <w:pPr>
              <w:pStyle w:val="DataTable"/>
              <w:jc w:val="center"/>
              <w:rPr>
                <w:i/>
                <w:iCs/>
                <w:sz w:val="23"/>
                <w:szCs w:val="23"/>
              </w:rPr>
            </w:pPr>
            <w:r w:rsidRPr="00694B06">
              <w:rPr>
                <w:sz w:val="23"/>
                <w:szCs w:val="23"/>
              </w:rPr>
              <w:t>88.5%</w:t>
            </w:r>
          </w:p>
        </w:tc>
        <w:tc>
          <w:tcPr>
            <w:tcW w:w="991" w:type="dxa"/>
            <w:shd w:val="clear" w:color="000000" w:fill="000000"/>
            <w:noWrap/>
            <w:vAlign w:val="center"/>
            <w:hideMark/>
          </w:tcPr>
          <w:p w14:paraId="4E512DB5" w14:textId="5C66F107" w:rsidR="00AF0870" w:rsidRPr="00694B06" w:rsidRDefault="00AF0870" w:rsidP="00AC0778">
            <w:pPr>
              <w:pStyle w:val="DataTable"/>
              <w:jc w:val="center"/>
              <w:rPr>
                <w:i/>
                <w:iCs/>
                <w:sz w:val="23"/>
                <w:szCs w:val="23"/>
              </w:rPr>
            </w:pPr>
          </w:p>
        </w:tc>
        <w:tc>
          <w:tcPr>
            <w:tcW w:w="1138" w:type="dxa"/>
            <w:gridSpan w:val="3"/>
            <w:shd w:val="clear" w:color="000000" w:fill="000000"/>
            <w:noWrap/>
            <w:vAlign w:val="center"/>
            <w:hideMark/>
          </w:tcPr>
          <w:p w14:paraId="1B534C9A" w14:textId="74398AD5" w:rsidR="00AF0870" w:rsidRPr="00694B06" w:rsidRDefault="00AF0870" w:rsidP="00AC0778">
            <w:pPr>
              <w:pStyle w:val="DataTable"/>
              <w:jc w:val="center"/>
              <w:rPr>
                <w:i/>
                <w:iCs/>
                <w:sz w:val="23"/>
                <w:szCs w:val="23"/>
              </w:rPr>
            </w:pPr>
          </w:p>
        </w:tc>
        <w:tc>
          <w:tcPr>
            <w:tcW w:w="1138" w:type="dxa"/>
            <w:gridSpan w:val="2"/>
            <w:shd w:val="clear" w:color="auto" w:fill="000000" w:themeFill="text1"/>
            <w:noWrap/>
            <w:vAlign w:val="center"/>
            <w:hideMark/>
          </w:tcPr>
          <w:p w14:paraId="65AE6D3C" w14:textId="5E8FFFCB" w:rsidR="00AF0870" w:rsidRPr="00694B06" w:rsidRDefault="00AF0870" w:rsidP="00AC0778">
            <w:pPr>
              <w:pStyle w:val="DataTable"/>
              <w:jc w:val="center"/>
              <w:rPr>
                <w:i/>
                <w:iCs/>
                <w:sz w:val="23"/>
                <w:szCs w:val="23"/>
              </w:rPr>
            </w:pPr>
          </w:p>
        </w:tc>
        <w:tc>
          <w:tcPr>
            <w:tcW w:w="925" w:type="dxa"/>
            <w:shd w:val="clear" w:color="auto" w:fill="000000" w:themeFill="text1"/>
            <w:noWrap/>
            <w:vAlign w:val="center"/>
            <w:hideMark/>
          </w:tcPr>
          <w:p w14:paraId="6FA186F6" w14:textId="77777777" w:rsidR="00AF0870" w:rsidRPr="00694B06" w:rsidRDefault="00AF0870" w:rsidP="00AC0778">
            <w:pPr>
              <w:pStyle w:val="DataTable"/>
              <w:jc w:val="center"/>
              <w:rPr>
                <w:i/>
                <w:iCs/>
                <w:sz w:val="23"/>
                <w:szCs w:val="23"/>
              </w:rPr>
            </w:pPr>
          </w:p>
        </w:tc>
      </w:tr>
      <w:tr w:rsidR="00AF0870" w:rsidRPr="00694B06" w14:paraId="61C43CE3" w14:textId="77777777" w:rsidTr="00424BBB">
        <w:trPr>
          <w:trHeight w:val="15"/>
        </w:trPr>
        <w:tc>
          <w:tcPr>
            <w:tcW w:w="848" w:type="dxa"/>
            <w:vMerge/>
            <w:vAlign w:val="center"/>
          </w:tcPr>
          <w:p w14:paraId="42529746" w14:textId="77777777" w:rsidR="00AF0870" w:rsidRPr="00694B06" w:rsidRDefault="00AF0870" w:rsidP="00D65653">
            <w:pPr>
              <w:pStyle w:val="DataTable"/>
              <w:rPr>
                <w:i/>
                <w:iCs/>
                <w:sz w:val="23"/>
                <w:szCs w:val="23"/>
              </w:rPr>
            </w:pPr>
          </w:p>
        </w:tc>
        <w:tc>
          <w:tcPr>
            <w:tcW w:w="2089" w:type="dxa"/>
            <w:shd w:val="clear" w:color="000000" w:fill="D9D9D9"/>
            <w:noWrap/>
            <w:vAlign w:val="bottom"/>
          </w:tcPr>
          <w:p w14:paraId="75822335" w14:textId="77777777" w:rsidR="00AF0870" w:rsidRPr="00694B06" w:rsidRDefault="00AF0870" w:rsidP="00D65653">
            <w:pPr>
              <w:pStyle w:val="DataTable"/>
              <w:rPr>
                <w:i/>
                <w:iCs/>
                <w:sz w:val="23"/>
                <w:szCs w:val="23"/>
              </w:rPr>
            </w:pPr>
            <w:r w:rsidRPr="00694B06">
              <w:rPr>
                <w:sz w:val="23"/>
                <w:szCs w:val="23"/>
              </w:rPr>
              <w:t>University Rate</w:t>
            </w:r>
          </w:p>
        </w:tc>
        <w:tc>
          <w:tcPr>
            <w:tcW w:w="972" w:type="dxa"/>
            <w:shd w:val="clear" w:color="auto" w:fill="D9D9D9" w:themeFill="background1" w:themeFillShade="D9"/>
            <w:noWrap/>
            <w:vAlign w:val="bottom"/>
          </w:tcPr>
          <w:p w14:paraId="1C8D8CBC" w14:textId="77777777" w:rsidR="00AF0870" w:rsidRPr="00694B06" w:rsidRDefault="00AF0870" w:rsidP="00AC0778">
            <w:pPr>
              <w:pStyle w:val="DataTable"/>
              <w:jc w:val="center"/>
              <w:rPr>
                <w:i/>
                <w:iCs/>
                <w:sz w:val="23"/>
                <w:szCs w:val="23"/>
              </w:rPr>
            </w:pPr>
            <w:r w:rsidRPr="00694B06">
              <w:rPr>
                <w:sz w:val="23"/>
                <w:szCs w:val="23"/>
              </w:rPr>
              <w:t>9222</w:t>
            </w:r>
          </w:p>
        </w:tc>
        <w:tc>
          <w:tcPr>
            <w:tcW w:w="1019" w:type="dxa"/>
            <w:shd w:val="clear" w:color="auto" w:fill="D9D9D9" w:themeFill="background1" w:themeFillShade="D9"/>
            <w:noWrap/>
            <w:vAlign w:val="center"/>
          </w:tcPr>
          <w:p w14:paraId="7D5CD219" w14:textId="77777777" w:rsidR="00AF0870" w:rsidRPr="00694B06" w:rsidRDefault="00AF0870" w:rsidP="00AC0778">
            <w:pPr>
              <w:pStyle w:val="DataTable"/>
              <w:jc w:val="center"/>
              <w:rPr>
                <w:i/>
                <w:iCs/>
                <w:sz w:val="23"/>
                <w:szCs w:val="23"/>
              </w:rPr>
            </w:pPr>
            <w:r w:rsidRPr="00694B06">
              <w:rPr>
                <w:sz w:val="23"/>
                <w:szCs w:val="23"/>
              </w:rPr>
              <w:t>92.9%</w:t>
            </w:r>
          </w:p>
        </w:tc>
        <w:tc>
          <w:tcPr>
            <w:tcW w:w="948" w:type="dxa"/>
            <w:shd w:val="clear" w:color="auto" w:fill="D9D9D9" w:themeFill="background1" w:themeFillShade="D9"/>
            <w:noWrap/>
            <w:vAlign w:val="center"/>
          </w:tcPr>
          <w:p w14:paraId="6CF5060F" w14:textId="5554F6AC" w:rsidR="00AF0870" w:rsidRPr="00694B06" w:rsidRDefault="00AF0870" w:rsidP="00AC0778">
            <w:pPr>
              <w:pStyle w:val="DataTable"/>
              <w:jc w:val="center"/>
              <w:rPr>
                <w:i/>
                <w:iCs/>
                <w:sz w:val="23"/>
                <w:szCs w:val="23"/>
              </w:rPr>
            </w:pPr>
            <w:r w:rsidRPr="00694B06">
              <w:rPr>
                <w:sz w:val="23"/>
                <w:szCs w:val="23"/>
              </w:rPr>
              <w:t>89.6%</w:t>
            </w:r>
          </w:p>
        </w:tc>
        <w:tc>
          <w:tcPr>
            <w:tcW w:w="991" w:type="dxa"/>
            <w:shd w:val="clear" w:color="000000" w:fill="000000"/>
            <w:noWrap/>
            <w:vAlign w:val="center"/>
          </w:tcPr>
          <w:p w14:paraId="0EF66CC1" w14:textId="77777777" w:rsidR="00AF0870" w:rsidRPr="00694B06" w:rsidRDefault="00AF0870" w:rsidP="00AC0778">
            <w:pPr>
              <w:pStyle w:val="DataTable"/>
              <w:jc w:val="center"/>
              <w:rPr>
                <w:i/>
                <w:iCs/>
                <w:sz w:val="23"/>
                <w:szCs w:val="23"/>
              </w:rPr>
            </w:pPr>
          </w:p>
        </w:tc>
        <w:tc>
          <w:tcPr>
            <w:tcW w:w="1138" w:type="dxa"/>
            <w:gridSpan w:val="3"/>
            <w:shd w:val="clear" w:color="000000" w:fill="000000"/>
            <w:noWrap/>
            <w:vAlign w:val="center"/>
          </w:tcPr>
          <w:p w14:paraId="1EB6F2F8" w14:textId="77777777" w:rsidR="00AF0870" w:rsidRPr="00694B06" w:rsidRDefault="00AF0870" w:rsidP="00AC0778">
            <w:pPr>
              <w:pStyle w:val="DataTable"/>
              <w:jc w:val="center"/>
              <w:rPr>
                <w:i/>
                <w:iCs/>
                <w:sz w:val="23"/>
                <w:szCs w:val="23"/>
              </w:rPr>
            </w:pPr>
          </w:p>
        </w:tc>
        <w:tc>
          <w:tcPr>
            <w:tcW w:w="1138" w:type="dxa"/>
            <w:gridSpan w:val="2"/>
            <w:shd w:val="clear" w:color="auto" w:fill="000000" w:themeFill="text1"/>
            <w:noWrap/>
            <w:vAlign w:val="center"/>
          </w:tcPr>
          <w:p w14:paraId="6B93D92D" w14:textId="77777777" w:rsidR="00AF0870" w:rsidRPr="00694B06" w:rsidRDefault="00AF0870" w:rsidP="00AC0778">
            <w:pPr>
              <w:pStyle w:val="DataTable"/>
              <w:jc w:val="center"/>
              <w:rPr>
                <w:i/>
                <w:iCs/>
                <w:sz w:val="23"/>
                <w:szCs w:val="23"/>
              </w:rPr>
            </w:pPr>
          </w:p>
        </w:tc>
        <w:tc>
          <w:tcPr>
            <w:tcW w:w="925" w:type="dxa"/>
            <w:shd w:val="clear" w:color="auto" w:fill="000000" w:themeFill="text1"/>
            <w:noWrap/>
            <w:vAlign w:val="center"/>
          </w:tcPr>
          <w:p w14:paraId="21FF7F52" w14:textId="77777777" w:rsidR="00AF0870" w:rsidRPr="00694B06" w:rsidRDefault="00AF0870" w:rsidP="00AC0778">
            <w:pPr>
              <w:pStyle w:val="DataTable"/>
              <w:jc w:val="center"/>
              <w:rPr>
                <w:i/>
                <w:iCs/>
                <w:sz w:val="23"/>
                <w:szCs w:val="23"/>
              </w:rPr>
            </w:pPr>
          </w:p>
        </w:tc>
      </w:tr>
      <w:tr w:rsidR="00AF0870" w:rsidRPr="00694B06" w14:paraId="63B6C2F1" w14:textId="77777777" w:rsidTr="00424BBB">
        <w:trPr>
          <w:trHeight w:val="15"/>
        </w:trPr>
        <w:tc>
          <w:tcPr>
            <w:tcW w:w="848" w:type="dxa"/>
            <w:vMerge w:val="restart"/>
            <w:vAlign w:val="center"/>
          </w:tcPr>
          <w:p w14:paraId="4060B0F9" w14:textId="77777777" w:rsidR="00AF0870" w:rsidRPr="00694B06" w:rsidRDefault="00AF0870" w:rsidP="00D65653">
            <w:pPr>
              <w:pStyle w:val="DataTable"/>
              <w:rPr>
                <w:i/>
                <w:iCs/>
                <w:sz w:val="23"/>
                <w:szCs w:val="23"/>
              </w:rPr>
            </w:pPr>
            <w:r w:rsidRPr="00694B06">
              <w:rPr>
                <w:sz w:val="23"/>
                <w:szCs w:val="23"/>
              </w:rPr>
              <w:t>2024</w:t>
            </w:r>
          </w:p>
        </w:tc>
        <w:tc>
          <w:tcPr>
            <w:tcW w:w="2089" w:type="dxa"/>
            <w:noWrap/>
            <w:vAlign w:val="bottom"/>
          </w:tcPr>
          <w:p w14:paraId="5872187F" w14:textId="77777777" w:rsidR="00AF0870" w:rsidRPr="00694B06" w:rsidRDefault="00AF0870" w:rsidP="00D65653">
            <w:pPr>
              <w:pStyle w:val="DataTable"/>
              <w:rPr>
                <w:i/>
                <w:iCs/>
                <w:sz w:val="23"/>
                <w:szCs w:val="23"/>
              </w:rPr>
            </w:pPr>
            <w:r w:rsidRPr="00694B06">
              <w:rPr>
                <w:sz w:val="23"/>
                <w:szCs w:val="23"/>
              </w:rPr>
              <w:t>All Purdue Promise</w:t>
            </w:r>
          </w:p>
        </w:tc>
        <w:tc>
          <w:tcPr>
            <w:tcW w:w="972" w:type="dxa"/>
            <w:noWrap/>
            <w:vAlign w:val="bottom"/>
          </w:tcPr>
          <w:p w14:paraId="2C22AA63" w14:textId="77777777" w:rsidR="00AF0870" w:rsidRPr="00694B06" w:rsidRDefault="00AF0870" w:rsidP="00AC0778">
            <w:pPr>
              <w:pStyle w:val="DataTable"/>
              <w:jc w:val="center"/>
              <w:rPr>
                <w:i/>
                <w:iCs/>
                <w:sz w:val="23"/>
                <w:szCs w:val="23"/>
              </w:rPr>
            </w:pPr>
            <w:r w:rsidRPr="00694B06">
              <w:rPr>
                <w:sz w:val="23"/>
                <w:szCs w:val="23"/>
              </w:rPr>
              <w:t>224</w:t>
            </w:r>
          </w:p>
        </w:tc>
        <w:tc>
          <w:tcPr>
            <w:tcW w:w="1019" w:type="dxa"/>
            <w:noWrap/>
            <w:vAlign w:val="center"/>
          </w:tcPr>
          <w:p w14:paraId="48EF612B" w14:textId="77777777" w:rsidR="00AF0870" w:rsidRPr="00694B06" w:rsidRDefault="00AF0870" w:rsidP="00AC0778">
            <w:pPr>
              <w:pStyle w:val="DataTable"/>
              <w:jc w:val="center"/>
              <w:rPr>
                <w:i/>
                <w:iCs/>
                <w:sz w:val="23"/>
                <w:szCs w:val="23"/>
              </w:rPr>
            </w:pPr>
            <w:r w:rsidRPr="00694B06">
              <w:rPr>
                <w:sz w:val="23"/>
                <w:szCs w:val="23"/>
              </w:rPr>
              <w:t>86.6%</w:t>
            </w:r>
          </w:p>
        </w:tc>
        <w:tc>
          <w:tcPr>
            <w:tcW w:w="948" w:type="dxa"/>
            <w:shd w:val="clear" w:color="auto" w:fill="000000" w:themeFill="text1"/>
            <w:noWrap/>
            <w:vAlign w:val="center"/>
          </w:tcPr>
          <w:p w14:paraId="226F9A38" w14:textId="77777777" w:rsidR="00AF0870" w:rsidRPr="00694B06" w:rsidRDefault="00AF0870" w:rsidP="00AC0778">
            <w:pPr>
              <w:pStyle w:val="DataTable"/>
              <w:jc w:val="center"/>
              <w:rPr>
                <w:i/>
                <w:iCs/>
                <w:sz w:val="23"/>
                <w:szCs w:val="23"/>
              </w:rPr>
            </w:pPr>
          </w:p>
        </w:tc>
        <w:tc>
          <w:tcPr>
            <w:tcW w:w="991" w:type="dxa"/>
            <w:shd w:val="clear" w:color="000000" w:fill="000000"/>
            <w:noWrap/>
            <w:vAlign w:val="center"/>
          </w:tcPr>
          <w:p w14:paraId="2E7C29E4" w14:textId="77777777" w:rsidR="00AF0870" w:rsidRPr="00694B06" w:rsidRDefault="00AF0870" w:rsidP="00AC0778">
            <w:pPr>
              <w:pStyle w:val="DataTable"/>
              <w:jc w:val="center"/>
              <w:rPr>
                <w:i/>
                <w:iCs/>
                <w:sz w:val="23"/>
                <w:szCs w:val="23"/>
              </w:rPr>
            </w:pPr>
          </w:p>
        </w:tc>
        <w:tc>
          <w:tcPr>
            <w:tcW w:w="1138" w:type="dxa"/>
            <w:gridSpan w:val="3"/>
            <w:shd w:val="clear" w:color="000000" w:fill="000000"/>
            <w:noWrap/>
            <w:vAlign w:val="center"/>
          </w:tcPr>
          <w:p w14:paraId="6C5FD79B" w14:textId="77777777" w:rsidR="00AF0870" w:rsidRPr="00694B06" w:rsidRDefault="00AF0870" w:rsidP="00AC0778">
            <w:pPr>
              <w:pStyle w:val="DataTable"/>
              <w:jc w:val="center"/>
              <w:rPr>
                <w:i/>
                <w:iCs/>
                <w:sz w:val="23"/>
                <w:szCs w:val="23"/>
              </w:rPr>
            </w:pPr>
          </w:p>
        </w:tc>
        <w:tc>
          <w:tcPr>
            <w:tcW w:w="1138" w:type="dxa"/>
            <w:gridSpan w:val="2"/>
            <w:shd w:val="clear" w:color="auto" w:fill="000000" w:themeFill="text1"/>
            <w:noWrap/>
            <w:vAlign w:val="center"/>
          </w:tcPr>
          <w:p w14:paraId="33DF55F6" w14:textId="77777777" w:rsidR="00AF0870" w:rsidRPr="00694B06" w:rsidRDefault="00AF0870" w:rsidP="00AC0778">
            <w:pPr>
              <w:pStyle w:val="DataTable"/>
              <w:jc w:val="center"/>
              <w:rPr>
                <w:i/>
                <w:iCs/>
                <w:sz w:val="23"/>
                <w:szCs w:val="23"/>
              </w:rPr>
            </w:pPr>
          </w:p>
        </w:tc>
        <w:tc>
          <w:tcPr>
            <w:tcW w:w="925" w:type="dxa"/>
            <w:shd w:val="clear" w:color="auto" w:fill="000000" w:themeFill="text1"/>
            <w:noWrap/>
            <w:vAlign w:val="center"/>
          </w:tcPr>
          <w:p w14:paraId="19F19390" w14:textId="77777777" w:rsidR="00AF0870" w:rsidRPr="00694B06" w:rsidRDefault="00AF0870" w:rsidP="00AC0778">
            <w:pPr>
              <w:pStyle w:val="DataTable"/>
              <w:jc w:val="center"/>
              <w:rPr>
                <w:i/>
                <w:iCs/>
                <w:sz w:val="23"/>
                <w:szCs w:val="23"/>
              </w:rPr>
            </w:pPr>
          </w:p>
        </w:tc>
      </w:tr>
      <w:tr w:rsidR="00AF0870" w:rsidRPr="00694B06" w14:paraId="33D66902" w14:textId="77777777" w:rsidTr="00424BBB">
        <w:trPr>
          <w:trHeight w:val="15"/>
        </w:trPr>
        <w:tc>
          <w:tcPr>
            <w:tcW w:w="848" w:type="dxa"/>
            <w:vMerge/>
            <w:vAlign w:val="center"/>
          </w:tcPr>
          <w:p w14:paraId="75618A43" w14:textId="77777777" w:rsidR="00AF0870" w:rsidRPr="00694B06" w:rsidRDefault="00AF0870" w:rsidP="00D65653">
            <w:pPr>
              <w:pStyle w:val="DataTable"/>
              <w:rPr>
                <w:i/>
                <w:iCs/>
                <w:sz w:val="23"/>
                <w:szCs w:val="23"/>
              </w:rPr>
            </w:pPr>
          </w:p>
        </w:tc>
        <w:tc>
          <w:tcPr>
            <w:tcW w:w="2089" w:type="dxa"/>
            <w:noWrap/>
            <w:vAlign w:val="bottom"/>
          </w:tcPr>
          <w:p w14:paraId="3A023011" w14:textId="77777777" w:rsidR="00AF0870" w:rsidRPr="00694B06" w:rsidRDefault="00AF0870" w:rsidP="00D65653">
            <w:pPr>
              <w:pStyle w:val="DataTable"/>
              <w:rPr>
                <w:i/>
                <w:iCs/>
                <w:sz w:val="23"/>
                <w:szCs w:val="23"/>
              </w:rPr>
            </w:pPr>
            <w:r w:rsidRPr="00694B06">
              <w:rPr>
                <w:sz w:val="23"/>
                <w:szCs w:val="23"/>
              </w:rPr>
              <w:t>TfCS only</w:t>
            </w:r>
          </w:p>
        </w:tc>
        <w:tc>
          <w:tcPr>
            <w:tcW w:w="972" w:type="dxa"/>
            <w:noWrap/>
            <w:vAlign w:val="bottom"/>
          </w:tcPr>
          <w:p w14:paraId="00FABC3E" w14:textId="77777777" w:rsidR="00AF0870" w:rsidRPr="00694B06" w:rsidRDefault="00AF0870" w:rsidP="00AC0778">
            <w:pPr>
              <w:pStyle w:val="DataTable"/>
              <w:jc w:val="center"/>
              <w:rPr>
                <w:i/>
                <w:iCs/>
                <w:sz w:val="23"/>
                <w:szCs w:val="23"/>
              </w:rPr>
            </w:pPr>
            <w:r w:rsidRPr="00694B06">
              <w:rPr>
                <w:sz w:val="23"/>
                <w:szCs w:val="23"/>
              </w:rPr>
              <w:t>132</w:t>
            </w:r>
          </w:p>
        </w:tc>
        <w:tc>
          <w:tcPr>
            <w:tcW w:w="1019" w:type="dxa"/>
            <w:noWrap/>
            <w:vAlign w:val="center"/>
          </w:tcPr>
          <w:p w14:paraId="2E14559D" w14:textId="77777777" w:rsidR="00AF0870" w:rsidRPr="00694B06" w:rsidRDefault="00AF0870" w:rsidP="00AC0778">
            <w:pPr>
              <w:pStyle w:val="DataTable"/>
              <w:jc w:val="center"/>
              <w:rPr>
                <w:i/>
                <w:iCs/>
                <w:sz w:val="23"/>
                <w:szCs w:val="23"/>
              </w:rPr>
            </w:pPr>
            <w:r w:rsidRPr="00694B06">
              <w:rPr>
                <w:sz w:val="23"/>
                <w:szCs w:val="23"/>
              </w:rPr>
              <w:t>88.6%</w:t>
            </w:r>
          </w:p>
        </w:tc>
        <w:tc>
          <w:tcPr>
            <w:tcW w:w="948" w:type="dxa"/>
            <w:shd w:val="clear" w:color="auto" w:fill="000000" w:themeFill="text1"/>
            <w:noWrap/>
            <w:vAlign w:val="center"/>
          </w:tcPr>
          <w:p w14:paraId="5D253FA0" w14:textId="77777777" w:rsidR="00AF0870" w:rsidRPr="00694B06" w:rsidRDefault="00AF0870" w:rsidP="00AC0778">
            <w:pPr>
              <w:pStyle w:val="DataTable"/>
              <w:jc w:val="center"/>
              <w:rPr>
                <w:i/>
                <w:iCs/>
                <w:sz w:val="23"/>
                <w:szCs w:val="23"/>
              </w:rPr>
            </w:pPr>
          </w:p>
        </w:tc>
        <w:tc>
          <w:tcPr>
            <w:tcW w:w="991" w:type="dxa"/>
            <w:shd w:val="clear" w:color="000000" w:fill="000000"/>
            <w:noWrap/>
            <w:vAlign w:val="center"/>
          </w:tcPr>
          <w:p w14:paraId="7906CF6D" w14:textId="77777777" w:rsidR="00AF0870" w:rsidRPr="00694B06" w:rsidRDefault="00AF0870" w:rsidP="00AC0778">
            <w:pPr>
              <w:pStyle w:val="DataTable"/>
              <w:jc w:val="center"/>
              <w:rPr>
                <w:i/>
                <w:iCs/>
                <w:sz w:val="23"/>
                <w:szCs w:val="23"/>
              </w:rPr>
            </w:pPr>
          </w:p>
        </w:tc>
        <w:tc>
          <w:tcPr>
            <w:tcW w:w="1138" w:type="dxa"/>
            <w:gridSpan w:val="3"/>
            <w:shd w:val="clear" w:color="000000" w:fill="000000"/>
            <w:noWrap/>
            <w:vAlign w:val="center"/>
          </w:tcPr>
          <w:p w14:paraId="15507925" w14:textId="77777777" w:rsidR="00AF0870" w:rsidRPr="00694B06" w:rsidRDefault="00AF0870" w:rsidP="00AC0778">
            <w:pPr>
              <w:pStyle w:val="DataTable"/>
              <w:jc w:val="center"/>
              <w:rPr>
                <w:i/>
                <w:iCs/>
                <w:sz w:val="23"/>
                <w:szCs w:val="23"/>
              </w:rPr>
            </w:pPr>
          </w:p>
        </w:tc>
        <w:tc>
          <w:tcPr>
            <w:tcW w:w="1138" w:type="dxa"/>
            <w:gridSpan w:val="2"/>
            <w:shd w:val="clear" w:color="auto" w:fill="000000" w:themeFill="text1"/>
            <w:noWrap/>
            <w:vAlign w:val="center"/>
          </w:tcPr>
          <w:p w14:paraId="4B442D53" w14:textId="77777777" w:rsidR="00AF0870" w:rsidRPr="00694B06" w:rsidRDefault="00AF0870" w:rsidP="00AC0778">
            <w:pPr>
              <w:pStyle w:val="DataTable"/>
              <w:jc w:val="center"/>
              <w:rPr>
                <w:i/>
                <w:iCs/>
                <w:sz w:val="23"/>
                <w:szCs w:val="23"/>
              </w:rPr>
            </w:pPr>
          </w:p>
        </w:tc>
        <w:tc>
          <w:tcPr>
            <w:tcW w:w="925" w:type="dxa"/>
            <w:shd w:val="clear" w:color="auto" w:fill="000000" w:themeFill="text1"/>
            <w:noWrap/>
            <w:vAlign w:val="center"/>
          </w:tcPr>
          <w:p w14:paraId="118B9B6D" w14:textId="77777777" w:rsidR="00AF0870" w:rsidRPr="00694B06" w:rsidRDefault="00AF0870" w:rsidP="00AC0778">
            <w:pPr>
              <w:pStyle w:val="DataTable"/>
              <w:jc w:val="center"/>
              <w:rPr>
                <w:i/>
                <w:iCs/>
                <w:sz w:val="23"/>
                <w:szCs w:val="23"/>
              </w:rPr>
            </w:pPr>
          </w:p>
        </w:tc>
      </w:tr>
      <w:tr w:rsidR="00AF0870" w:rsidRPr="00694B06" w14:paraId="6D50DACC" w14:textId="77777777" w:rsidTr="00424BBB">
        <w:trPr>
          <w:trHeight w:val="15"/>
        </w:trPr>
        <w:tc>
          <w:tcPr>
            <w:tcW w:w="848" w:type="dxa"/>
            <w:vMerge/>
            <w:vAlign w:val="center"/>
          </w:tcPr>
          <w:p w14:paraId="43874559" w14:textId="77777777" w:rsidR="00AF0870" w:rsidRPr="00694B06" w:rsidRDefault="00AF0870" w:rsidP="00D65653">
            <w:pPr>
              <w:pStyle w:val="DataTable"/>
              <w:rPr>
                <w:i/>
                <w:iCs/>
                <w:sz w:val="23"/>
                <w:szCs w:val="23"/>
              </w:rPr>
            </w:pPr>
          </w:p>
        </w:tc>
        <w:tc>
          <w:tcPr>
            <w:tcW w:w="2089" w:type="dxa"/>
            <w:noWrap/>
            <w:vAlign w:val="bottom"/>
          </w:tcPr>
          <w:p w14:paraId="377C3615" w14:textId="77777777" w:rsidR="00AF0870" w:rsidRPr="00694B06" w:rsidRDefault="00AF0870" w:rsidP="00D65653">
            <w:pPr>
              <w:pStyle w:val="DataTable"/>
              <w:rPr>
                <w:i/>
                <w:iCs/>
                <w:sz w:val="23"/>
                <w:szCs w:val="23"/>
              </w:rPr>
            </w:pPr>
            <w:r w:rsidRPr="00694B06">
              <w:rPr>
                <w:sz w:val="23"/>
                <w:szCs w:val="23"/>
              </w:rPr>
              <w:t>Pell Recipient only</w:t>
            </w:r>
          </w:p>
        </w:tc>
        <w:tc>
          <w:tcPr>
            <w:tcW w:w="972" w:type="dxa"/>
            <w:noWrap/>
            <w:vAlign w:val="bottom"/>
          </w:tcPr>
          <w:p w14:paraId="333399CC" w14:textId="77777777" w:rsidR="00AF0870" w:rsidRPr="00694B06" w:rsidRDefault="00AF0870" w:rsidP="00AC0778">
            <w:pPr>
              <w:pStyle w:val="DataTable"/>
              <w:jc w:val="center"/>
              <w:rPr>
                <w:i/>
                <w:iCs/>
                <w:sz w:val="23"/>
                <w:szCs w:val="23"/>
              </w:rPr>
            </w:pPr>
            <w:r w:rsidRPr="00694B06">
              <w:rPr>
                <w:sz w:val="23"/>
                <w:szCs w:val="23"/>
              </w:rPr>
              <w:t>1412</w:t>
            </w:r>
          </w:p>
        </w:tc>
        <w:tc>
          <w:tcPr>
            <w:tcW w:w="1019" w:type="dxa"/>
            <w:noWrap/>
            <w:vAlign w:val="center"/>
          </w:tcPr>
          <w:p w14:paraId="5D9FFC9A" w14:textId="77777777" w:rsidR="00AF0870" w:rsidRPr="00694B06" w:rsidRDefault="00AF0870" w:rsidP="00AC0778">
            <w:pPr>
              <w:pStyle w:val="DataTable"/>
              <w:jc w:val="center"/>
              <w:rPr>
                <w:i/>
                <w:iCs/>
                <w:sz w:val="23"/>
                <w:szCs w:val="23"/>
              </w:rPr>
            </w:pPr>
            <w:r w:rsidRPr="00694B06">
              <w:rPr>
                <w:sz w:val="23"/>
                <w:szCs w:val="23"/>
              </w:rPr>
              <w:t>88.7%</w:t>
            </w:r>
          </w:p>
        </w:tc>
        <w:tc>
          <w:tcPr>
            <w:tcW w:w="948" w:type="dxa"/>
            <w:shd w:val="clear" w:color="auto" w:fill="000000" w:themeFill="text1"/>
            <w:noWrap/>
            <w:vAlign w:val="center"/>
          </w:tcPr>
          <w:p w14:paraId="5DAA8373" w14:textId="77777777" w:rsidR="00AF0870" w:rsidRPr="00694B06" w:rsidRDefault="00AF0870" w:rsidP="00AC0778">
            <w:pPr>
              <w:pStyle w:val="DataTable"/>
              <w:jc w:val="center"/>
              <w:rPr>
                <w:i/>
                <w:iCs/>
                <w:sz w:val="23"/>
                <w:szCs w:val="23"/>
              </w:rPr>
            </w:pPr>
          </w:p>
        </w:tc>
        <w:tc>
          <w:tcPr>
            <w:tcW w:w="991" w:type="dxa"/>
            <w:shd w:val="clear" w:color="000000" w:fill="000000"/>
            <w:noWrap/>
            <w:vAlign w:val="center"/>
          </w:tcPr>
          <w:p w14:paraId="7181B501" w14:textId="77777777" w:rsidR="00AF0870" w:rsidRPr="00694B06" w:rsidRDefault="00AF0870" w:rsidP="00AC0778">
            <w:pPr>
              <w:pStyle w:val="DataTable"/>
              <w:jc w:val="center"/>
              <w:rPr>
                <w:i/>
                <w:iCs/>
                <w:sz w:val="23"/>
                <w:szCs w:val="23"/>
              </w:rPr>
            </w:pPr>
          </w:p>
        </w:tc>
        <w:tc>
          <w:tcPr>
            <w:tcW w:w="1138" w:type="dxa"/>
            <w:gridSpan w:val="3"/>
            <w:shd w:val="clear" w:color="000000" w:fill="000000"/>
            <w:noWrap/>
            <w:vAlign w:val="center"/>
          </w:tcPr>
          <w:p w14:paraId="1809EC97" w14:textId="77777777" w:rsidR="00AF0870" w:rsidRPr="00694B06" w:rsidRDefault="00AF0870" w:rsidP="00AC0778">
            <w:pPr>
              <w:pStyle w:val="DataTable"/>
              <w:jc w:val="center"/>
              <w:rPr>
                <w:i/>
                <w:iCs/>
                <w:sz w:val="23"/>
                <w:szCs w:val="23"/>
              </w:rPr>
            </w:pPr>
          </w:p>
        </w:tc>
        <w:tc>
          <w:tcPr>
            <w:tcW w:w="1138" w:type="dxa"/>
            <w:gridSpan w:val="2"/>
            <w:shd w:val="clear" w:color="auto" w:fill="000000" w:themeFill="text1"/>
            <w:noWrap/>
            <w:vAlign w:val="center"/>
          </w:tcPr>
          <w:p w14:paraId="4FC60ED5" w14:textId="77777777" w:rsidR="00AF0870" w:rsidRPr="00694B06" w:rsidRDefault="00AF0870" w:rsidP="00AC0778">
            <w:pPr>
              <w:pStyle w:val="DataTable"/>
              <w:jc w:val="center"/>
              <w:rPr>
                <w:i/>
                <w:iCs/>
                <w:sz w:val="23"/>
                <w:szCs w:val="23"/>
              </w:rPr>
            </w:pPr>
          </w:p>
        </w:tc>
        <w:tc>
          <w:tcPr>
            <w:tcW w:w="925" w:type="dxa"/>
            <w:shd w:val="clear" w:color="auto" w:fill="000000" w:themeFill="text1"/>
            <w:noWrap/>
            <w:vAlign w:val="center"/>
          </w:tcPr>
          <w:p w14:paraId="7C33E122" w14:textId="77777777" w:rsidR="00AF0870" w:rsidRPr="00694B06" w:rsidRDefault="00AF0870" w:rsidP="00AC0778">
            <w:pPr>
              <w:pStyle w:val="DataTable"/>
              <w:jc w:val="center"/>
              <w:rPr>
                <w:i/>
                <w:iCs/>
                <w:sz w:val="23"/>
                <w:szCs w:val="23"/>
              </w:rPr>
            </w:pPr>
          </w:p>
        </w:tc>
      </w:tr>
      <w:tr w:rsidR="00AF0870" w:rsidRPr="00694B06" w14:paraId="40A1B3B9" w14:textId="77777777" w:rsidTr="00424BBB">
        <w:trPr>
          <w:trHeight w:val="15"/>
        </w:trPr>
        <w:tc>
          <w:tcPr>
            <w:tcW w:w="848" w:type="dxa"/>
            <w:vMerge/>
            <w:vAlign w:val="center"/>
          </w:tcPr>
          <w:p w14:paraId="51E6B147" w14:textId="77777777" w:rsidR="00AF0870" w:rsidRPr="00694B06" w:rsidRDefault="00AF0870" w:rsidP="00D65653">
            <w:pPr>
              <w:pStyle w:val="DataTable"/>
              <w:rPr>
                <w:i/>
                <w:iCs/>
                <w:sz w:val="23"/>
                <w:szCs w:val="23"/>
              </w:rPr>
            </w:pPr>
          </w:p>
        </w:tc>
        <w:tc>
          <w:tcPr>
            <w:tcW w:w="2089" w:type="dxa"/>
            <w:noWrap/>
            <w:vAlign w:val="bottom"/>
          </w:tcPr>
          <w:p w14:paraId="1A2BE3A9" w14:textId="77777777" w:rsidR="00AF0870" w:rsidRPr="00694B06" w:rsidRDefault="00AF0870" w:rsidP="00D65653">
            <w:pPr>
              <w:pStyle w:val="DataTable"/>
              <w:rPr>
                <w:i/>
                <w:iCs/>
                <w:sz w:val="23"/>
                <w:szCs w:val="23"/>
              </w:rPr>
            </w:pPr>
            <w:r w:rsidRPr="00694B06">
              <w:rPr>
                <w:sz w:val="23"/>
                <w:szCs w:val="23"/>
              </w:rPr>
              <w:t>Indiana Residents</w:t>
            </w:r>
          </w:p>
        </w:tc>
        <w:tc>
          <w:tcPr>
            <w:tcW w:w="972" w:type="dxa"/>
            <w:noWrap/>
            <w:vAlign w:val="bottom"/>
          </w:tcPr>
          <w:p w14:paraId="20C98F55" w14:textId="77777777" w:rsidR="00AF0870" w:rsidRPr="00694B06" w:rsidRDefault="00AF0870" w:rsidP="00AC0778">
            <w:pPr>
              <w:pStyle w:val="DataTable"/>
              <w:jc w:val="center"/>
              <w:rPr>
                <w:i/>
                <w:iCs/>
                <w:sz w:val="23"/>
                <w:szCs w:val="23"/>
              </w:rPr>
            </w:pPr>
            <w:r w:rsidRPr="00694B06">
              <w:rPr>
                <w:sz w:val="23"/>
                <w:szCs w:val="23"/>
              </w:rPr>
              <w:t>4640</w:t>
            </w:r>
          </w:p>
        </w:tc>
        <w:tc>
          <w:tcPr>
            <w:tcW w:w="1019" w:type="dxa"/>
            <w:noWrap/>
            <w:vAlign w:val="center"/>
          </w:tcPr>
          <w:p w14:paraId="6F8C678C" w14:textId="77777777" w:rsidR="00AF0870" w:rsidRPr="00694B06" w:rsidRDefault="00AF0870" w:rsidP="00AC0778">
            <w:pPr>
              <w:pStyle w:val="DataTable"/>
              <w:jc w:val="center"/>
              <w:rPr>
                <w:i/>
                <w:iCs/>
                <w:sz w:val="23"/>
                <w:szCs w:val="23"/>
              </w:rPr>
            </w:pPr>
            <w:r w:rsidRPr="00694B06">
              <w:rPr>
                <w:sz w:val="23"/>
                <w:szCs w:val="23"/>
              </w:rPr>
              <w:t>91.4%</w:t>
            </w:r>
          </w:p>
        </w:tc>
        <w:tc>
          <w:tcPr>
            <w:tcW w:w="948" w:type="dxa"/>
            <w:shd w:val="clear" w:color="auto" w:fill="000000" w:themeFill="text1"/>
            <w:noWrap/>
            <w:vAlign w:val="center"/>
          </w:tcPr>
          <w:p w14:paraId="786D647C" w14:textId="77777777" w:rsidR="00AF0870" w:rsidRPr="00694B06" w:rsidRDefault="00AF0870" w:rsidP="00AC0778">
            <w:pPr>
              <w:pStyle w:val="DataTable"/>
              <w:jc w:val="center"/>
              <w:rPr>
                <w:i/>
                <w:iCs/>
                <w:sz w:val="23"/>
                <w:szCs w:val="23"/>
              </w:rPr>
            </w:pPr>
          </w:p>
        </w:tc>
        <w:tc>
          <w:tcPr>
            <w:tcW w:w="991" w:type="dxa"/>
            <w:shd w:val="clear" w:color="000000" w:fill="000000"/>
            <w:noWrap/>
            <w:vAlign w:val="center"/>
          </w:tcPr>
          <w:p w14:paraId="17B4E85A" w14:textId="77777777" w:rsidR="00AF0870" w:rsidRPr="00694B06" w:rsidRDefault="00AF0870" w:rsidP="00AC0778">
            <w:pPr>
              <w:pStyle w:val="DataTable"/>
              <w:jc w:val="center"/>
              <w:rPr>
                <w:i/>
                <w:iCs/>
                <w:sz w:val="23"/>
                <w:szCs w:val="23"/>
              </w:rPr>
            </w:pPr>
          </w:p>
        </w:tc>
        <w:tc>
          <w:tcPr>
            <w:tcW w:w="1138" w:type="dxa"/>
            <w:gridSpan w:val="3"/>
            <w:shd w:val="clear" w:color="000000" w:fill="000000"/>
            <w:noWrap/>
            <w:vAlign w:val="center"/>
          </w:tcPr>
          <w:p w14:paraId="12428F8D" w14:textId="77777777" w:rsidR="00AF0870" w:rsidRPr="00694B06" w:rsidRDefault="00AF0870" w:rsidP="00AC0778">
            <w:pPr>
              <w:pStyle w:val="DataTable"/>
              <w:jc w:val="center"/>
              <w:rPr>
                <w:i/>
                <w:iCs/>
                <w:sz w:val="23"/>
                <w:szCs w:val="23"/>
              </w:rPr>
            </w:pPr>
          </w:p>
        </w:tc>
        <w:tc>
          <w:tcPr>
            <w:tcW w:w="1138" w:type="dxa"/>
            <w:gridSpan w:val="2"/>
            <w:shd w:val="clear" w:color="auto" w:fill="000000" w:themeFill="text1"/>
            <w:noWrap/>
            <w:vAlign w:val="center"/>
          </w:tcPr>
          <w:p w14:paraId="1E89D94F" w14:textId="77777777" w:rsidR="00AF0870" w:rsidRPr="00694B06" w:rsidRDefault="00AF0870" w:rsidP="00AC0778">
            <w:pPr>
              <w:pStyle w:val="DataTable"/>
              <w:jc w:val="center"/>
              <w:rPr>
                <w:i/>
                <w:iCs/>
                <w:sz w:val="23"/>
                <w:szCs w:val="23"/>
              </w:rPr>
            </w:pPr>
          </w:p>
        </w:tc>
        <w:tc>
          <w:tcPr>
            <w:tcW w:w="925" w:type="dxa"/>
            <w:shd w:val="clear" w:color="auto" w:fill="000000" w:themeFill="text1"/>
            <w:noWrap/>
            <w:vAlign w:val="center"/>
          </w:tcPr>
          <w:p w14:paraId="2962714F" w14:textId="77777777" w:rsidR="00AF0870" w:rsidRPr="00694B06" w:rsidRDefault="00AF0870" w:rsidP="00AC0778">
            <w:pPr>
              <w:pStyle w:val="DataTable"/>
              <w:jc w:val="center"/>
              <w:rPr>
                <w:i/>
                <w:iCs/>
                <w:sz w:val="23"/>
                <w:szCs w:val="23"/>
              </w:rPr>
            </w:pPr>
          </w:p>
        </w:tc>
      </w:tr>
      <w:tr w:rsidR="00AF0870" w:rsidRPr="00694B06" w14:paraId="0D2E5202" w14:textId="77777777" w:rsidTr="00424BBB">
        <w:trPr>
          <w:trHeight w:val="15"/>
        </w:trPr>
        <w:tc>
          <w:tcPr>
            <w:tcW w:w="848" w:type="dxa"/>
            <w:vMerge/>
            <w:vAlign w:val="center"/>
          </w:tcPr>
          <w:p w14:paraId="167899C0" w14:textId="77777777" w:rsidR="00AF0870" w:rsidRPr="00694B06" w:rsidRDefault="00AF0870" w:rsidP="00D65653">
            <w:pPr>
              <w:pStyle w:val="DataTable"/>
              <w:rPr>
                <w:i/>
                <w:iCs/>
                <w:sz w:val="23"/>
                <w:szCs w:val="23"/>
              </w:rPr>
            </w:pPr>
          </w:p>
        </w:tc>
        <w:tc>
          <w:tcPr>
            <w:tcW w:w="2089" w:type="dxa"/>
            <w:noWrap/>
            <w:vAlign w:val="bottom"/>
          </w:tcPr>
          <w:p w14:paraId="2BAF108D" w14:textId="77777777" w:rsidR="00AF0870" w:rsidRPr="00694B06" w:rsidRDefault="00AF0870" w:rsidP="00D65653">
            <w:pPr>
              <w:pStyle w:val="DataTable"/>
              <w:rPr>
                <w:i/>
                <w:iCs/>
                <w:sz w:val="23"/>
                <w:szCs w:val="23"/>
              </w:rPr>
            </w:pPr>
            <w:r w:rsidRPr="00694B06">
              <w:rPr>
                <w:sz w:val="23"/>
                <w:szCs w:val="23"/>
              </w:rPr>
              <w:t>University Rate</w:t>
            </w:r>
          </w:p>
        </w:tc>
        <w:tc>
          <w:tcPr>
            <w:tcW w:w="972" w:type="dxa"/>
            <w:noWrap/>
            <w:vAlign w:val="bottom"/>
          </w:tcPr>
          <w:p w14:paraId="761AB4BB" w14:textId="77777777" w:rsidR="00AF0870" w:rsidRPr="00694B06" w:rsidRDefault="00AF0870" w:rsidP="00AC0778">
            <w:pPr>
              <w:pStyle w:val="DataTable"/>
              <w:jc w:val="center"/>
              <w:rPr>
                <w:i/>
                <w:iCs/>
                <w:sz w:val="23"/>
                <w:szCs w:val="23"/>
              </w:rPr>
            </w:pPr>
            <w:r w:rsidRPr="00694B06">
              <w:rPr>
                <w:sz w:val="23"/>
                <w:szCs w:val="23"/>
              </w:rPr>
              <w:t>11289</w:t>
            </w:r>
          </w:p>
        </w:tc>
        <w:tc>
          <w:tcPr>
            <w:tcW w:w="1019" w:type="dxa"/>
            <w:noWrap/>
            <w:vAlign w:val="center"/>
          </w:tcPr>
          <w:p w14:paraId="79945D05" w14:textId="77777777" w:rsidR="00AF0870" w:rsidRPr="00694B06" w:rsidRDefault="00AF0870" w:rsidP="00AC0778">
            <w:pPr>
              <w:pStyle w:val="DataTable"/>
              <w:jc w:val="center"/>
              <w:rPr>
                <w:i/>
                <w:iCs/>
                <w:sz w:val="23"/>
                <w:szCs w:val="23"/>
              </w:rPr>
            </w:pPr>
            <w:r w:rsidRPr="00694B06">
              <w:rPr>
                <w:sz w:val="23"/>
                <w:szCs w:val="23"/>
              </w:rPr>
              <w:t>92.5%</w:t>
            </w:r>
          </w:p>
        </w:tc>
        <w:tc>
          <w:tcPr>
            <w:tcW w:w="948" w:type="dxa"/>
            <w:shd w:val="clear" w:color="auto" w:fill="000000" w:themeFill="text1"/>
            <w:noWrap/>
            <w:vAlign w:val="center"/>
          </w:tcPr>
          <w:p w14:paraId="4BC18905" w14:textId="77777777" w:rsidR="00AF0870" w:rsidRPr="00694B06" w:rsidRDefault="00AF0870" w:rsidP="00AC0778">
            <w:pPr>
              <w:pStyle w:val="DataTable"/>
              <w:jc w:val="center"/>
              <w:rPr>
                <w:i/>
                <w:iCs/>
                <w:sz w:val="23"/>
                <w:szCs w:val="23"/>
              </w:rPr>
            </w:pPr>
          </w:p>
        </w:tc>
        <w:tc>
          <w:tcPr>
            <w:tcW w:w="991" w:type="dxa"/>
            <w:shd w:val="clear" w:color="000000" w:fill="000000"/>
            <w:noWrap/>
            <w:vAlign w:val="center"/>
          </w:tcPr>
          <w:p w14:paraId="5AB25690" w14:textId="77777777" w:rsidR="00AF0870" w:rsidRPr="00694B06" w:rsidRDefault="00AF0870" w:rsidP="00AC0778">
            <w:pPr>
              <w:pStyle w:val="DataTable"/>
              <w:jc w:val="center"/>
              <w:rPr>
                <w:i/>
                <w:iCs/>
                <w:sz w:val="23"/>
                <w:szCs w:val="23"/>
              </w:rPr>
            </w:pPr>
          </w:p>
        </w:tc>
        <w:tc>
          <w:tcPr>
            <w:tcW w:w="1138" w:type="dxa"/>
            <w:gridSpan w:val="3"/>
            <w:shd w:val="clear" w:color="000000" w:fill="000000"/>
            <w:noWrap/>
            <w:vAlign w:val="center"/>
          </w:tcPr>
          <w:p w14:paraId="06AFB2AD" w14:textId="77777777" w:rsidR="00AF0870" w:rsidRPr="00694B06" w:rsidRDefault="00AF0870" w:rsidP="00AC0778">
            <w:pPr>
              <w:pStyle w:val="DataTable"/>
              <w:jc w:val="center"/>
              <w:rPr>
                <w:i/>
                <w:iCs/>
                <w:sz w:val="23"/>
                <w:szCs w:val="23"/>
              </w:rPr>
            </w:pPr>
          </w:p>
        </w:tc>
        <w:tc>
          <w:tcPr>
            <w:tcW w:w="1138" w:type="dxa"/>
            <w:gridSpan w:val="2"/>
            <w:shd w:val="clear" w:color="auto" w:fill="000000" w:themeFill="text1"/>
            <w:noWrap/>
            <w:vAlign w:val="center"/>
          </w:tcPr>
          <w:p w14:paraId="1D663A97" w14:textId="77777777" w:rsidR="00AF0870" w:rsidRPr="00694B06" w:rsidRDefault="00AF0870" w:rsidP="00AC0778">
            <w:pPr>
              <w:pStyle w:val="DataTable"/>
              <w:jc w:val="center"/>
              <w:rPr>
                <w:i/>
                <w:iCs/>
                <w:sz w:val="23"/>
                <w:szCs w:val="23"/>
              </w:rPr>
            </w:pPr>
          </w:p>
        </w:tc>
        <w:tc>
          <w:tcPr>
            <w:tcW w:w="925" w:type="dxa"/>
            <w:shd w:val="clear" w:color="auto" w:fill="000000" w:themeFill="text1"/>
            <w:noWrap/>
            <w:vAlign w:val="center"/>
          </w:tcPr>
          <w:p w14:paraId="75E27EFB" w14:textId="77777777" w:rsidR="00AF0870" w:rsidRPr="00694B06" w:rsidRDefault="00AF0870" w:rsidP="00AC0778">
            <w:pPr>
              <w:pStyle w:val="DataTable"/>
              <w:jc w:val="center"/>
              <w:rPr>
                <w:i/>
                <w:iCs/>
                <w:sz w:val="23"/>
                <w:szCs w:val="23"/>
              </w:rPr>
            </w:pPr>
          </w:p>
        </w:tc>
      </w:tr>
    </w:tbl>
    <w:p w14:paraId="498C3D31" w14:textId="77777777" w:rsidR="008B6C52" w:rsidRPr="00694B06" w:rsidRDefault="008B6C52" w:rsidP="2B5176B0">
      <w:pPr>
        <w:spacing w:after="0" w:line="240" w:lineRule="auto"/>
        <w:rPr>
          <w:rFonts w:ascii="Franklin Gothic Book" w:eastAsia="Franklin Gothic Book" w:hAnsi="Franklin Gothic Book" w:cs="Franklin Gothic Book"/>
          <w:sz w:val="23"/>
          <w:szCs w:val="23"/>
        </w:rPr>
      </w:pPr>
    </w:p>
    <w:tbl>
      <w:tblPr>
        <w:tblStyle w:val="TableGrid"/>
        <w:tblW w:w="0" w:type="auto"/>
        <w:tblInd w:w="4675" w:type="dxa"/>
        <w:tblLook w:val="04A0" w:firstRow="1" w:lastRow="0" w:firstColumn="1" w:lastColumn="0" w:noHBand="0" w:noVBand="1"/>
      </w:tblPr>
      <w:tblGrid>
        <w:gridCol w:w="279"/>
        <w:gridCol w:w="4401"/>
      </w:tblGrid>
      <w:tr w:rsidR="00C71341" w:rsidRPr="00B277C1" w14:paraId="42A257F9" w14:textId="77777777" w:rsidTr="00D65653">
        <w:tc>
          <w:tcPr>
            <w:tcW w:w="288" w:type="dxa"/>
            <w:tcBorders>
              <w:right w:val="single" w:sz="4" w:space="0" w:color="auto"/>
            </w:tcBorders>
            <w:shd w:val="clear" w:color="auto" w:fill="FBF7EB"/>
          </w:tcPr>
          <w:p w14:paraId="5F42B925" w14:textId="77777777" w:rsidR="00C71341" w:rsidRPr="00B277C1" w:rsidRDefault="00C71341" w:rsidP="00D65653">
            <w:pPr>
              <w:rPr>
                <w:rFonts w:ascii="Franklin Gothic Book" w:eastAsia="Franklin Gothic Book" w:hAnsi="Franklin Gothic Book" w:cs="Franklin Gothic Book"/>
              </w:rPr>
            </w:pPr>
          </w:p>
        </w:tc>
        <w:tc>
          <w:tcPr>
            <w:tcW w:w="4963" w:type="dxa"/>
            <w:tcBorders>
              <w:top w:val="nil"/>
              <w:left w:val="single" w:sz="4" w:space="0" w:color="auto"/>
              <w:bottom w:val="nil"/>
              <w:right w:val="nil"/>
            </w:tcBorders>
          </w:tcPr>
          <w:p w14:paraId="1DC5A6F2" w14:textId="77777777" w:rsidR="00C71341" w:rsidRPr="00B277C1" w:rsidRDefault="00C71341" w:rsidP="00D65653">
            <w:pPr>
              <w:rPr>
                <w:rFonts w:ascii="Franklin Gothic Book" w:eastAsia="Franklin Gothic Book" w:hAnsi="Franklin Gothic Book" w:cs="Franklin Gothic Book"/>
                <w:i/>
                <w:iCs/>
              </w:rPr>
            </w:pPr>
            <w:proofErr w:type="spellStart"/>
            <w:r w:rsidRPr="00B277C1">
              <w:rPr>
                <w:rFonts w:ascii="Franklin Gothic Book" w:eastAsia="Franklin Gothic Book" w:hAnsi="Franklin Gothic Book" w:cs="Franklin Gothic Book"/>
                <w:i/>
                <w:iCs/>
              </w:rPr>
              <w:t>PuP</w:t>
            </w:r>
            <w:proofErr w:type="spellEnd"/>
            <w:r w:rsidRPr="00B277C1">
              <w:rPr>
                <w:rFonts w:ascii="Franklin Gothic Book" w:eastAsia="Franklin Gothic Book" w:hAnsi="Franklin Gothic Book" w:cs="Franklin Gothic Book"/>
                <w:i/>
                <w:iCs/>
              </w:rPr>
              <w:t xml:space="preserve"> Greater than </w:t>
            </w:r>
            <w:proofErr w:type="spellStart"/>
            <w:r w:rsidRPr="00B277C1">
              <w:rPr>
                <w:rFonts w:ascii="Franklin Gothic Book" w:eastAsia="Franklin Gothic Book" w:hAnsi="Franklin Gothic Book" w:cs="Franklin Gothic Book"/>
                <w:i/>
                <w:iCs/>
              </w:rPr>
              <w:t>TfCS</w:t>
            </w:r>
            <w:proofErr w:type="spellEnd"/>
            <w:r w:rsidRPr="00B277C1">
              <w:rPr>
                <w:rFonts w:ascii="Franklin Gothic Book" w:eastAsia="Franklin Gothic Book" w:hAnsi="Franklin Gothic Book" w:cs="Franklin Gothic Book"/>
                <w:b/>
                <w:bCs/>
                <w:i/>
                <w:iCs/>
              </w:rPr>
              <w:t xml:space="preserve"> or </w:t>
            </w:r>
            <w:r w:rsidRPr="00B277C1">
              <w:rPr>
                <w:rFonts w:ascii="Franklin Gothic Book" w:eastAsia="Franklin Gothic Book" w:hAnsi="Franklin Gothic Book" w:cs="Franklin Gothic Book"/>
                <w:i/>
                <w:iCs/>
              </w:rPr>
              <w:t>Pell Eligible</w:t>
            </w:r>
          </w:p>
        </w:tc>
      </w:tr>
      <w:tr w:rsidR="00C71341" w:rsidRPr="00B277C1" w14:paraId="7CE868D6" w14:textId="77777777" w:rsidTr="00D65653">
        <w:tc>
          <w:tcPr>
            <w:tcW w:w="288" w:type="dxa"/>
            <w:tcBorders>
              <w:right w:val="single" w:sz="4" w:space="0" w:color="auto"/>
            </w:tcBorders>
            <w:shd w:val="clear" w:color="auto" w:fill="ECE3D4"/>
          </w:tcPr>
          <w:p w14:paraId="6915BEED" w14:textId="77777777" w:rsidR="00C71341" w:rsidRPr="00B277C1" w:rsidRDefault="00C71341" w:rsidP="00D65653">
            <w:pPr>
              <w:rPr>
                <w:rFonts w:ascii="Franklin Gothic Book" w:eastAsia="Franklin Gothic Book" w:hAnsi="Franklin Gothic Book" w:cs="Franklin Gothic Book"/>
              </w:rPr>
            </w:pPr>
          </w:p>
        </w:tc>
        <w:tc>
          <w:tcPr>
            <w:tcW w:w="4963" w:type="dxa"/>
            <w:tcBorders>
              <w:top w:val="nil"/>
              <w:left w:val="single" w:sz="4" w:space="0" w:color="auto"/>
              <w:bottom w:val="nil"/>
              <w:right w:val="nil"/>
            </w:tcBorders>
          </w:tcPr>
          <w:p w14:paraId="024A7147" w14:textId="77777777" w:rsidR="00C71341" w:rsidRPr="00B277C1" w:rsidRDefault="00C71341" w:rsidP="00D65653">
            <w:pPr>
              <w:rPr>
                <w:rFonts w:ascii="Franklin Gothic Book" w:eastAsia="Franklin Gothic Book" w:hAnsi="Franklin Gothic Book" w:cs="Franklin Gothic Book"/>
                <w:i/>
                <w:iCs/>
              </w:rPr>
            </w:pPr>
            <w:proofErr w:type="spellStart"/>
            <w:r w:rsidRPr="00B277C1">
              <w:rPr>
                <w:rFonts w:ascii="Franklin Gothic Book" w:eastAsia="Franklin Gothic Book" w:hAnsi="Franklin Gothic Book" w:cs="Franklin Gothic Book"/>
                <w:i/>
                <w:iCs/>
              </w:rPr>
              <w:t>PuP</w:t>
            </w:r>
            <w:proofErr w:type="spellEnd"/>
            <w:r w:rsidRPr="00B277C1">
              <w:rPr>
                <w:rFonts w:ascii="Franklin Gothic Book" w:eastAsia="Franklin Gothic Book" w:hAnsi="Franklin Gothic Book" w:cs="Franklin Gothic Book"/>
                <w:i/>
                <w:iCs/>
              </w:rPr>
              <w:t xml:space="preserve"> Greater than </w:t>
            </w:r>
            <w:proofErr w:type="spellStart"/>
            <w:r w:rsidRPr="00B277C1">
              <w:rPr>
                <w:rFonts w:ascii="Franklin Gothic Book" w:eastAsia="Franklin Gothic Book" w:hAnsi="Franklin Gothic Book" w:cs="Franklin Gothic Book"/>
                <w:i/>
                <w:iCs/>
              </w:rPr>
              <w:t>TfCS</w:t>
            </w:r>
            <w:proofErr w:type="spellEnd"/>
            <w:r w:rsidRPr="00B277C1">
              <w:rPr>
                <w:rFonts w:ascii="Franklin Gothic Book" w:eastAsia="Franklin Gothic Book" w:hAnsi="Franklin Gothic Book" w:cs="Franklin Gothic Book"/>
                <w:i/>
                <w:iCs/>
              </w:rPr>
              <w:t xml:space="preserve"> </w:t>
            </w:r>
            <w:r w:rsidRPr="00B277C1">
              <w:rPr>
                <w:rFonts w:ascii="Franklin Gothic Book" w:eastAsia="Franklin Gothic Book" w:hAnsi="Franklin Gothic Book" w:cs="Franklin Gothic Book"/>
                <w:b/>
                <w:bCs/>
                <w:i/>
                <w:iCs/>
              </w:rPr>
              <w:t xml:space="preserve">&amp; </w:t>
            </w:r>
            <w:r w:rsidRPr="00B277C1">
              <w:rPr>
                <w:rFonts w:ascii="Franklin Gothic Book" w:eastAsia="Franklin Gothic Book" w:hAnsi="Franklin Gothic Book" w:cs="Franklin Gothic Book"/>
                <w:i/>
                <w:iCs/>
              </w:rPr>
              <w:t>Pell Eligible</w:t>
            </w:r>
          </w:p>
        </w:tc>
      </w:tr>
    </w:tbl>
    <w:p w14:paraId="066EAF2B" w14:textId="77777777" w:rsidR="00C71341" w:rsidRPr="00B277C1" w:rsidRDefault="00C71341" w:rsidP="2B5176B0">
      <w:pPr>
        <w:spacing w:after="0" w:line="240" w:lineRule="auto"/>
        <w:rPr>
          <w:rFonts w:ascii="Franklin Gothic Book" w:eastAsia="Franklin Gothic Book" w:hAnsi="Franklin Gothic Book" w:cs="Franklin Gothic Book"/>
        </w:rPr>
      </w:pPr>
    </w:p>
    <w:p w14:paraId="4DAC2236" w14:textId="77777777" w:rsidR="00FA10C5" w:rsidRPr="00B277C1" w:rsidRDefault="00FA10C5" w:rsidP="2B5176B0">
      <w:pPr>
        <w:spacing w:after="0" w:line="240" w:lineRule="auto"/>
        <w:rPr>
          <w:rFonts w:ascii="Franklin Gothic Book" w:eastAsia="Franklin Gothic Book" w:hAnsi="Franklin Gothic Book" w:cs="Franklin Gothic Book"/>
        </w:rPr>
      </w:pPr>
    </w:p>
    <w:p w14:paraId="24145027" w14:textId="77777777" w:rsidR="008B6C52" w:rsidRPr="00B277C1" w:rsidRDefault="008B6C52" w:rsidP="2B5176B0">
      <w:pPr>
        <w:pStyle w:val="Heading2"/>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Closing the Opportunity Gap to Increase Degree Attainment</w:t>
      </w:r>
    </w:p>
    <w:p w14:paraId="3A53A95B" w14:textId="2A1EAF26" w:rsidR="008B6C52" w:rsidRPr="00B277C1" w:rsidRDefault="008B6C52" w:rsidP="2B5176B0">
      <w:p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When the university created Purdue Promise, 21</w:t>
      </w:r>
      <w:r w:rsidRPr="00B277C1">
        <w:rPr>
          <w:rFonts w:ascii="Franklin Gothic Book" w:eastAsia="Franklin Gothic Book" w:hAnsi="Franklin Gothic Book" w:cs="Franklin Gothic Book"/>
          <w:vertAlign w:val="superscript"/>
        </w:rPr>
        <w:t>st</w:t>
      </w:r>
      <w:r w:rsidRPr="00B277C1">
        <w:rPr>
          <w:rFonts w:ascii="Franklin Gothic Book" w:eastAsia="Franklin Gothic Book" w:hAnsi="Franklin Gothic Book" w:cs="Franklin Gothic Book"/>
        </w:rPr>
        <w:t xml:space="preserve"> Century Scholars were graduating approximately 10% behind Purdue</w:t>
      </w:r>
      <w:r w:rsidR="633A73F9" w:rsidRPr="00B277C1">
        <w:rPr>
          <w:rFonts w:ascii="Franklin Gothic Book" w:eastAsia="Franklin Gothic Book" w:hAnsi="Franklin Gothic Book" w:cs="Franklin Gothic Book"/>
        </w:rPr>
        <w:t>’s</w:t>
      </w:r>
      <w:r w:rsidRPr="00B277C1">
        <w:rPr>
          <w:rFonts w:ascii="Franklin Gothic Book" w:eastAsia="Franklin Gothic Book" w:hAnsi="Franklin Gothic Book" w:cs="Franklin Gothic Book"/>
        </w:rPr>
        <w:t xml:space="preserve"> all-undergraduate four-year graduation rate. Since then, the goal has been to reduce educational debt and close the opportunity gap for students served by Purdue Promise. That </w:t>
      </w:r>
      <w:r w:rsidR="3B407E00" w:rsidRPr="00B277C1">
        <w:rPr>
          <w:rFonts w:ascii="Franklin Gothic Book" w:eastAsia="Franklin Gothic Book" w:hAnsi="Franklin Gothic Book" w:cs="Franklin Gothic Book"/>
        </w:rPr>
        <w:t xml:space="preserve">was accomplished </w:t>
      </w:r>
      <w:r w:rsidRPr="00B277C1">
        <w:rPr>
          <w:rFonts w:ascii="Franklin Gothic Book" w:eastAsia="Franklin Gothic Book" w:hAnsi="Franklin Gothic Book" w:cs="Franklin Gothic Book"/>
        </w:rPr>
        <w:t>with the 2014 cohort. Their four-year graduation rate was</w:t>
      </w:r>
      <w:r w:rsidRPr="00B277C1">
        <w:rPr>
          <w:rFonts w:ascii="Franklin Gothic Book" w:eastAsia="Franklin Gothic Book" w:hAnsi="Franklin Gothic Book" w:cs="Franklin Gothic Book"/>
          <w:u w:val="single"/>
        </w:rPr>
        <w:t xml:space="preserve"> 62.67% and </w:t>
      </w:r>
      <w:r w:rsidRPr="00B277C1">
        <w:rPr>
          <w:rFonts w:ascii="Franklin Gothic Book" w:eastAsia="Franklin Gothic Book" w:hAnsi="Franklin Gothic Book" w:cs="Franklin Gothic Book"/>
          <w:i/>
          <w:iCs/>
          <w:u w:val="single"/>
        </w:rPr>
        <w:t>exceeded</w:t>
      </w:r>
      <w:r w:rsidRPr="00B277C1">
        <w:rPr>
          <w:rFonts w:ascii="Franklin Gothic Book" w:eastAsia="Franklin Gothic Book" w:hAnsi="Franklin Gothic Book" w:cs="Franklin Gothic Book"/>
          <w:u w:val="single"/>
        </w:rPr>
        <w:t xml:space="preserve"> the Purdue rate of 60.</w:t>
      </w:r>
      <w:r w:rsidR="007C79E6" w:rsidRPr="00B277C1">
        <w:rPr>
          <w:rFonts w:ascii="Franklin Gothic Book" w:eastAsia="Franklin Gothic Book" w:hAnsi="Franklin Gothic Book" w:cs="Franklin Gothic Book"/>
          <w:u w:val="single"/>
        </w:rPr>
        <w:t>3</w:t>
      </w:r>
      <w:r w:rsidRPr="00B277C1">
        <w:rPr>
          <w:rFonts w:ascii="Franklin Gothic Book" w:eastAsia="Franklin Gothic Book" w:hAnsi="Franklin Gothic Book" w:cs="Franklin Gothic Book"/>
          <w:u w:val="single"/>
        </w:rPr>
        <w:t>%.</w:t>
      </w:r>
      <w:r w:rsidRPr="00B277C1">
        <w:rPr>
          <w:rFonts w:ascii="Franklin Gothic Book" w:eastAsia="Franklin Gothic Book" w:hAnsi="Franklin Gothic Book" w:cs="Franklin Gothic Book"/>
        </w:rPr>
        <w:t xml:space="preserve"> It is important to note that the 2014 cohort was the first to receive the current Purdue Promise coaching model</w:t>
      </w:r>
      <w:r w:rsidR="00A95A67" w:rsidRPr="00B277C1">
        <w:rPr>
          <w:rFonts w:ascii="Franklin Gothic Book" w:eastAsia="Franklin Gothic Book" w:hAnsi="Franklin Gothic Book" w:cs="Franklin Gothic Book"/>
        </w:rPr>
        <w:t>,</w:t>
      </w:r>
      <w:r w:rsidR="437A9EF9" w:rsidRPr="00B277C1">
        <w:rPr>
          <w:rFonts w:ascii="Franklin Gothic Book" w:eastAsia="Franklin Gothic Book" w:hAnsi="Franklin Gothic Book" w:cs="Franklin Gothic Book"/>
        </w:rPr>
        <w:t xml:space="preserve"> for</w:t>
      </w:r>
      <w:r w:rsidRPr="00B277C1">
        <w:rPr>
          <w:rFonts w:ascii="Franklin Gothic Book" w:eastAsia="Franklin Gothic Book" w:hAnsi="Franklin Gothic Book" w:cs="Franklin Gothic Book"/>
        </w:rPr>
        <w:t xml:space="preserve"> all four years</w:t>
      </w:r>
      <w:r w:rsidR="4E0F7A0B" w:rsidRPr="00B277C1">
        <w:rPr>
          <w:rFonts w:ascii="Franklin Gothic Book" w:eastAsia="Franklin Gothic Book" w:hAnsi="Franklin Gothic Book" w:cs="Franklin Gothic Book"/>
        </w:rPr>
        <w:t xml:space="preserve"> of their undergraduate experience</w:t>
      </w:r>
      <w:r w:rsidRPr="00B277C1">
        <w:rPr>
          <w:rFonts w:ascii="Franklin Gothic Book" w:eastAsia="Franklin Gothic Book" w:hAnsi="Franklin Gothic Book" w:cs="Franklin Gothic Book"/>
        </w:rPr>
        <w:t>.</w:t>
      </w:r>
    </w:p>
    <w:p w14:paraId="3694E2F3" w14:textId="77777777" w:rsidR="008B6C52" w:rsidRPr="00B277C1" w:rsidRDefault="008B6C52" w:rsidP="2B5176B0">
      <w:pPr>
        <w:spacing w:after="0" w:line="240" w:lineRule="auto"/>
        <w:rPr>
          <w:rFonts w:ascii="Franklin Gothic Book" w:eastAsia="Franklin Gothic Book" w:hAnsi="Franklin Gothic Book" w:cs="Franklin Gothic Book"/>
        </w:rPr>
      </w:pPr>
    </w:p>
    <w:p w14:paraId="773EBDFF" w14:textId="17004377" w:rsidR="00675C7F" w:rsidRPr="00694B06" w:rsidRDefault="008F2F60" w:rsidP="00A95A67">
      <w:pPr>
        <w:spacing w:after="0" w:line="240" w:lineRule="auto"/>
        <w:jc w:val="center"/>
        <w:rPr>
          <w:rFonts w:ascii="Franklin Gothic Book" w:eastAsia="Franklin Gothic Book" w:hAnsi="Franklin Gothic Book" w:cs="Franklin Gothic Book"/>
          <w:sz w:val="23"/>
          <w:szCs w:val="23"/>
        </w:rPr>
      </w:pPr>
      <w:r w:rsidRPr="00694B06">
        <w:rPr>
          <w:rFonts w:ascii="Franklin Gothic Book" w:eastAsia="Franklin Gothic Book" w:hAnsi="Franklin Gothic Book" w:cs="Franklin Gothic Book"/>
          <w:noProof/>
          <w:sz w:val="23"/>
          <w:szCs w:val="23"/>
        </w:rPr>
        <w:drawing>
          <wp:inline distT="0" distB="0" distL="0" distR="0" wp14:anchorId="410E237F" wp14:editId="776D7C82">
            <wp:extent cx="6013410" cy="2568271"/>
            <wp:effectExtent l="0" t="0" r="6985" b="3810"/>
            <wp:docPr id="1167300145" name="Picture 1" descr="This is a bar chart. The preceding paragraph describes its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00145" name="Picture 1" descr="This is a bar chart. The preceding paragraph describes its cont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5706" cy="2573523"/>
                    </a:xfrm>
                    <a:prstGeom prst="rect">
                      <a:avLst/>
                    </a:prstGeom>
                    <a:noFill/>
                  </pic:spPr>
                </pic:pic>
              </a:graphicData>
            </a:graphic>
          </wp:inline>
        </w:drawing>
      </w:r>
    </w:p>
    <w:p w14:paraId="39730010" w14:textId="77777777" w:rsidR="00694B06" w:rsidRPr="00694B06" w:rsidRDefault="00694B06" w:rsidP="00A95A67">
      <w:pPr>
        <w:spacing w:after="0" w:line="240" w:lineRule="auto"/>
        <w:jc w:val="center"/>
        <w:rPr>
          <w:rFonts w:ascii="Franklin Gothic Book" w:eastAsia="Franklin Gothic Book" w:hAnsi="Franklin Gothic Book" w:cs="Franklin Gothic Book"/>
          <w:sz w:val="23"/>
          <w:szCs w:val="23"/>
        </w:rPr>
      </w:pPr>
    </w:p>
    <w:p w14:paraId="51F5FCD4" w14:textId="77777777" w:rsidR="00694B06" w:rsidRPr="00B277C1" w:rsidRDefault="00694B06" w:rsidP="00694B06">
      <w:pPr>
        <w:rPr>
          <w:rFonts w:ascii="Franklin Gothic Book" w:hAnsi="Franklin Gothic Book"/>
          <w:b/>
          <w:bCs/>
        </w:rPr>
      </w:pPr>
      <w:r w:rsidRPr="00B277C1">
        <w:rPr>
          <w:rFonts w:ascii="Franklin Gothic Book" w:hAnsi="Franklin Gothic Book"/>
          <w:b/>
        </w:rPr>
        <w:lastRenderedPageBreak/>
        <w:t xml:space="preserve">First-Generation Students </w:t>
      </w:r>
    </w:p>
    <w:p w14:paraId="61346CC4" w14:textId="15E881B3" w:rsidR="00694B06" w:rsidRPr="00B277C1" w:rsidRDefault="00694B06" w:rsidP="00694B06">
      <w:pPr>
        <w:rPr>
          <w:rFonts w:ascii="Franklin Gothic Book" w:hAnsi="Franklin Gothic Book"/>
        </w:rPr>
      </w:pPr>
      <w:r w:rsidRPr="00B277C1">
        <w:rPr>
          <w:rFonts w:ascii="Franklin Gothic Book" w:hAnsi="Franklin Gothic Book"/>
        </w:rPr>
        <w:t xml:space="preserve">21st Century Scholars across the state are more likely than their Indiana peers to be first-generation college students. Similarly, Purdue Promise scholars are more likely than their Purdue peers to be first-generation students. The chart below demonstrates the percentage of first-generation students in Purdue Promise cohorts compared to other undergraduate Indiana residents at Purdue. </w:t>
      </w:r>
    </w:p>
    <w:p w14:paraId="669ED98D" w14:textId="333D7A5D" w:rsidR="2B5176B0" w:rsidRDefault="00694B06" w:rsidP="00694B06">
      <w:pPr>
        <w:jc w:val="center"/>
        <w:rPr>
          <w:rFonts w:ascii="Franklin Gothic Book" w:hAnsi="Franklin Gothic Book"/>
          <w:sz w:val="23"/>
          <w:szCs w:val="23"/>
        </w:rPr>
      </w:pPr>
      <w:r w:rsidRPr="00694B06">
        <w:rPr>
          <w:rFonts w:ascii="Franklin Gothic Book" w:hAnsi="Franklin Gothic Book"/>
          <w:noProof/>
          <w:sz w:val="23"/>
          <w:szCs w:val="23"/>
        </w:rPr>
        <w:drawing>
          <wp:inline distT="0" distB="0" distL="0" distR="0" wp14:anchorId="15110DB2" wp14:editId="63473462">
            <wp:extent cx="6079295" cy="3118045"/>
            <wp:effectExtent l="0" t="0" r="17145" b="6350"/>
            <wp:docPr id="629356287" name="Chart 1" descr="This is a bar chart. The preceding paragraph describes its conten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F2BBF7" w14:textId="77777777" w:rsidR="00694B06" w:rsidRPr="00694B06" w:rsidRDefault="00694B06" w:rsidP="00694B06">
      <w:pPr>
        <w:jc w:val="center"/>
        <w:rPr>
          <w:rFonts w:ascii="Franklin Gothic Book" w:hAnsi="Franklin Gothic Book"/>
          <w:sz w:val="23"/>
          <w:szCs w:val="23"/>
        </w:rPr>
      </w:pPr>
    </w:p>
    <w:p w14:paraId="5BF8572A" w14:textId="77777777" w:rsidR="00F91EDA" w:rsidRPr="00B277C1" w:rsidRDefault="00F91EDA" w:rsidP="2B5176B0">
      <w:pPr>
        <w:pStyle w:val="Heading1"/>
        <w:spacing w:before="0" w:line="240" w:lineRule="auto"/>
        <w:rPr>
          <w:rFonts w:ascii="Franklin Gothic Book" w:eastAsia="Franklin Gothic Demi" w:hAnsi="Franklin Gothic Book" w:cs="Franklin Gothic Demi"/>
          <w:bCs/>
          <w:color w:val="BF8F00" w:themeColor="accent4" w:themeShade="BF"/>
          <w:szCs w:val="26"/>
        </w:rPr>
      </w:pPr>
      <w:r w:rsidRPr="00B277C1">
        <w:rPr>
          <w:rFonts w:ascii="Franklin Gothic Book" w:eastAsia="Franklin Gothic Demi" w:hAnsi="Franklin Gothic Book" w:cs="Franklin Gothic Demi"/>
          <w:bCs/>
          <w:szCs w:val="26"/>
        </w:rPr>
        <w:t>ASSESSMENT PLAN</w:t>
      </w:r>
    </w:p>
    <w:p w14:paraId="6134C125" w14:textId="483DCA59" w:rsidR="00F91EDA" w:rsidRPr="00B277C1" w:rsidRDefault="00F91EDA" w:rsidP="2B5176B0">
      <w:p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Purdue Promise</w:t>
      </w:r>
      <w:r w:rsidR="06041AF1" w:rsidRPr="00B277C1">
        <w:rPr>
          <w:rFonts w:ascii="Franklin Gothic Book" w:eastAsia="Franklin Gothic Book" w:hAnsi="Franklin Gothic Book" w:cs="Franklin Gothic Book"/>
        </w:rPr>
        <w:t>’s</w:t>
      </w:r>
      <w:r w:rsidRPr="00B277C1">
        <w:rPr>
          <w:rFonts w:ascii="Franklin Gothic Book" w:eastAsia="Franklin Gothic Book" w:hAnsi="Franklin Gothic Book" w:cs="Franklin Gothic Book"/>
        </w:rPr>
        <w:t xml:space="preserve"> staff aspire to strengthen </w:t>
      </w:r>
      <w:r w:rsidR="22A9BAA6" w:rsidRPr="00B277C1">
        <w:rPr>
          <w:rFonts w:ascii="Franklin Gothic Book" w:eastAsia="Franklin Gothic Book" w:hAnsi="Franklin Gothic Book" w:cs="Franklin Gothic Book"/>
        </w:rPr>
        <w:t xml:space="preserve">their </w:t>
      </w:r>
      <w:r w:rsidRPr="00B277C1">
        <w:rPr>
          <w:rFonts w:ascii="Franklin Gothic Book" w:eastAsia="Franklin Gothic Book" w:hAnsi="Franklin Gothic Book" w:cs="Franklin Gothic Book"/>
        </w:rPr>
        <w:t xml:space="preserve">understanding of the influence </w:t>
      </w:r>
      <w:r w:rsidR="0ED33255" w:rsidRPr="00B277C1">
        <w:rPr>
          <w:rFonts w:ascii="Franklin Gothic Book" w:eastAsia="Franklin Gothic Book" w:hAnsi="Franklin Gothic Book" w:cs="Franklin Gothic Book"/>
        </w:rPr>
        <w:t>the</w:t>
      </w:r>
      <w:r w:rsidRPr="00B277C1">
        <w:rPr>
          <w:rFonts w:ascii="Franklin Gothic Book" w:eastAsia="Franklin Gothic Book" w:hAnsi="Franklin Gothic Book" w:cs="Franklin Gothic Book"/>
        </w:rPr>
        <w:t xml:space="preserve"> program and services have on students and campus outcomes, and how the experiences of Purdue Promise students align with or differ from their fellow Purdue undergraduates’ experiences. </w:t>
      </w:r>
    </w:p>
    <w:p w14:paraId="3FE28EF2" w14:textId="77777777" w:rsidR="00F91EDA" w:rsidRPr="00B277C1" w:rsidRDefault="00F91EDA" w:rsidP="2B5176B0">
      <w:pPr>
        <w:spacing w:after="0" w:line="240" w:lineRule="auto"/>
        <w:rPr>
          <w:rFonts w:ascii="Franklin Gothic Book" w:eastAsia="Franklin Gothic Book" w:hAnsi="Franklin Gothic Book" w:cs="Franklin Gothic Book"/>
        </w:rPr>
      </w:pPr>
    </w:p>
    <w:p w14:paraId="71929FF8" w14:textId="77777777" w:rsidR="00F91EDA" w:rsidRPr="00B277C1" w:rsidRDefault="00F91EDA" w:rsidP="2B5176B0">
      <w:pPr>
        <w:pStyle w:val="Heading2"/>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Current Assessments</w:t>
      </w:r>
    </w:p>
    <w:p w14:paraId="210FE6EE" w14:textId="04E4948A" w:rsidR="00F91EDA" w:rsidRPr="00B277C1" w:rsidRDefault="00F91EDA" w:rsidP="2B5176B0">
      <w:p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The </w:t>
      </w:r>
      <w:r w:rsidR="12C95C47" w:rsidRPr="00B277C1">
        <w:rPr>
          <w:rFonts w:ascii="Franklin Gothic Book" w:eastAsia="Franklin Gothic Book" w:hAnsi="Franklin Gothic Book" w:cs="Franklin Gothic Book"/>
        </w:rPr>
        <w:t xml:space="preserve">following </w:t>
      </w:r>
      <w:r w:rsidRPr="00B277C1">
        <w:rPr>
          <w:rFonts w:ascii="Franklin Gothic Book" w:eastAsia="Franklin Gothic Book" w:hAnsi="Franklin Gothic Book" w:cs="Franklin Gothic Book"/>
        </w:rPr>
        <w:t xml:space="preserve">list of assessments follows a complete assessment cycle, including writing outcomes, planning </w:t>
      </w:r>
      <w:r w:rsidR="00263FBA" w:rsidRPr="00B277C1">
        <w:rPr>
          <w:rFonts w:ascii="Franklin Gothic Book" w:eastAsia="Franklin Gothic Book" w:hAnsi="Franklin Gothic Book" w:cs="Franklin Gothic Book"/>
        </w:rPr>
        <w:t>assessments</w:t>
      </w:r>
      <w:r w:rsidRPr="00B277C1">
        <w:rPr>
          <w:rFonts w:ascii="Franklin Gothic Book" w:eastAsia="Franklin Gothic Book" w:hAnsi="Franklin Gothic Book" w:cs="Franklin Gothic Book"/>
        </w:rPr>
        <w:t>, delivering interventions, collecting data, analyzing data, reporting on the data</w:t>
      </w:r>
      <w:r w:rsidR="1BA2AFF4"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and using the results for continuous improvement</w:t>
      </w:r>
      <w:r w:rsidR="4856F2FB" w:rsidRPr="00B277C1">
        <w:rPr>
          <w:rFonts w:ascii="Franklin Gothic Book" w:eastAsia="Franklin Gothic Book" w:hAnsi="Franklin Gothic Book" w:cs="Franklin Gothic Book"/>
        </w:rPr>
        <w:t>:</w:t>
      </w:r>
    </w:p>
    <w:p w14:paraId="7A1AF96C" w14:textId="339ED9A6" w:rsidR="00F91EDA" w:rsidRPr="00B277C1" w:rsidRDefault="4856F2FB"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w:t>
      </w:r>
      <w:r w:rsidR="00F91EDA" w:rsidRPr="00B277C1">
        <w:rPr>
          <w:rFonts w:ascii="Franklin Gothic Book" w:eastAsia="Franklin Gothic Book" w:hAnsi="Franklin Gothic Book" w:cs="Franklin Gothic Book"/>
        </w:rPr>
        <w:t xml:space="preserve">nnual Purdue Promise scholarship </w:t>
      </w:r>
      <w:r w:rsidR="00460A82" w:rsidRPr="00B277C1">
        <w:rPr>
          <w:rFonts w:ascii="Franklin Gothic Book" w:eastAsia="Franklin Gothic Book" w:hAnsi="Franklin Gothic Book" w:cs="Franklin Gothic Book"/>
        </w:rPr>
        <w:t>agreement</w:t>
      </w:r>
    </w:p>
    <w:p w14:paraId="1DBBB95F" w14:textId="77777777" w:rsidR="00460A82" w:rsidRPr="00B277C1" w:rsidRDefault="00460A82"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Coaching After Appointment survey</w:t>
      </w:r>
    </w:p>
    <w:p w14:paraId="77DF9094" w14:textId="77777777" w:rsidR="00F91EDA" w:rsidRPr="00B277C1" w:rsidRDefault="00F91EDA"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GS 197 pre- and post-course assessments</w:t>
      </w:r>
    </w:p>
    <w:p w14:paraId="56BA70C8" w14:textId="77777777" w:rsidR="00F91EDA" w:rsidRPr="00B277C1" w:rsidRDefault="00F91EDA"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GS 405 pre- and post-course assessments</w:t>
      </w:r>
    </w:p>
    <w:p w14:paraId="49857B9A" w14:textId="77777777" w:rsidR="00F91EDA" w:rsidRPr="00B277C1" w:rsidRDefault="00F91EDA"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Senior Survey (GS 405 assignment)</w:t>
      </w:r>
    </w:p>
    <w:p w14:paraId="20E39FB5" w14:textId="77777777" w:rsidR="00F91EDA" w:rsidRPr="00B277C1" w:rsidRDefault="00F91EDA"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EDPS 490 pre- and post-course assessments (study abroad)</w:t>
      </w:r>
    </w:p>
    <w:p w14:paraId="5772B7A6" w14:textId="4B01F135" w:rsidR="00F91EDA" w:rsidRPr="00B277C1" w:rsidRDefault="00F91EDA"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Intercultural Development Inventory (IDI) pre- and post-test</w:t>
      </w:r>
      <w:r w:rsidR="198ABB2D" w:rsidRPr="00B277C1">
        <w:rPr>
          <w:rFonts w:ascii="Franklin Gothic Book" w:eastAsia="Franklin Gothic Book" w:hAnsi="Franklin Gothic Book" w:cs="Franklin Gothic Book"/>
        </w:rPr>
        <w:t>s</w:t>
      </w:r>
      <w:r w:rsidRPr="00B277C1">
        <w:rPr>
          <w:rFonts w:ascii="Franklin Gothic Book" w:eastAsia="Franklin Gothic Book" w:hAnsi="Franklin Gothic Book" w:cs="Franklin Gothic Book"/>
        </w:rPr>
        <w:t xml:space="preserve"> (study abroad)</w:t>
      </w:r>
    </w:p>
    <w:p w14:paraId="66FC2D6D" w14:textId="44421912" w:rsidR="00F91EDA" w:rsidRPr="00B277C1" w:rsidRDefault="12A9B7C4"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w:t>
      </w:r>
      <w:r w:rsidR="00F91EDA" w:rsidRPr="00B277C1">
        <w:rPr>
          <w:rFonts w:ascii="Franklin Gothic Book" w:eastAsia="Franklin Gothic Book" w:hAnsi="Franklin Gothic Book" w:cs="Franklin Gothic Book"/>
        </w:rPr>
        <w:t xml:space="preserve">tudent </w:t>
      </w:r>
      <w:r w:rsidR="7CB54AFB" w:rsidRPr="00B277C1">
        <w:rPr>
          <w:rFonts w:ascii="Franklin Gothic Book" w:eastAsia="Franklin Gothic Book" w:hAnsi="Franklin Gothic Book" w:cs="Franklin Gothic Book"/>
        </w:rPr>
        <w:t>S</w:t>
      </w:r>
      <w:r w:rsidR="00F91EDA" w:rsidRPr="00B277C1">
        <w:rPr>
          <w:rFonts w:ascii="Franklin Gothic Book" w:eastAsia="Franklin Gothic Book" w:hAnsi="Franklin Gothic Book" w:cs="Franklin Gothic Book"/>
        </w:rPr>
        <w:t>uccess coaching meeting completion (semester review)</w:t>
      </w:r>
    </w:p>
    <w:p w14:paraId="4153B4D9" w14:textId="1B405466" w:rsidR="00460A82" w:rsidRPr="00B277C1" w:rsidRDefault="00460A82"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Student Success Programs database and BoilerConnect metrics </w:t>
      </w:r>
      <w:r w:rsidR="21CEA283" w:rsidRPr="00B277C1">
        <w:rPr>
          <w:rFonts w:ascii="Franklin Gothic Book" w:eastAsia="Franklin Gothic Book" w:hAnsi="Franklin Gothic Book" w:cs="Franklin Gothic Book"/>
        </w:rPr>
        <w:t xml:space="preserve">on </w:t>
      </w:r>
      <w:r w:rsidRPr="00B277C1">
        <w:rPr>
          <w:rFonts w:ascii="Franklin Gothic Book" w:eastAsia="Franklin Gothic Book" w:hAnsi="Franklin Gothic Book" w:cs="Franklin Gothic Book"/>
        </w:rPr>
        <w:t>outreach to students</w:t>
      </w:r>
    </w:p>
    <w:p w14:paraId="320CADA4" w14:textId="5ECC4D9A" w:rsidR="00F91EDA" w:rsidRPr="00B277C1" w:rsidRDefault="00F91EDA" w:rsidP="2B5176B0">
      <w:pPr>
        <w:pStyle w:val="ListParagraph"/>
        <w:numPr>
          <w:ilvl w:val="0"/>
          <w:numId w:val="26"/>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BoilerConnect meeting metrics</w:t>
      </w:r>
    </w:p>
    <w:p w14:paraId="709755A2" w14:textId="77777777" w:rsidR="00263FBA" w:rsidRPr="00B277C1" w:rsidRDefault="00263FBA" w:rsidP="00263FBA">
      <w:pPr>
        <w:pStyle w:val="ListParagraph"/>
        <w:spacing w:after="0" w:line="240" w:lineRule="auto"/>
        <w:rPr>
          <w:rFonts w:ascii="Franklin Gothic Book" w:eastAsia="Franklin Gothic Book" w:hAnsi="Franklin Gothic Book" w:cs="Franklin Gothic Book"/>
        </w:rPr>
      </w:pPr>
    </w:p>
    <w:p w14:paraId="2B6E3CAE" w14:textId="77777777" w:rsidR="00F91EDA" w:rsidRPr="00B277C1" w:rsidRDefault="00F91EDA" w:rsidP="2B5176B0">
      <w:pPr>
        <w:pStyle w:val="Heading2"/>
        <w:rPr>
          <w:rFonts w:ascii="Franklin Gothic Book" w:eastAsia="Franklin Gothic Book" w:hAnsi="Franklin Gothic Book" w:cs="Franklin Gothic Book"/>
        </w:rPr>
      </w:pPr>
      <w:r w:rsidRPr="00B277C1">
        <w:rPr>
          <w:rFonts w:ascii="Franklin Gothic Book" w:eastAsia="Franklin Gothic Book" w:hAnsi="Franklin Gothic Book" w:cs="Franklin Gothic Book"/>
        </w:rPr>
        <w:lastRenderedPageBreak/>
        <w:t>Current Data Collection and Usage</w:t>
      </w:r>
    </w:p>
    <w:p w14:paraId="3F1A995B" w14:textId="264A9D98" w:rsidR="00F91EDA" w:rsidRPr="00B277C1" w:rsidRDefault="00F91EDA" w:rsidP="2B5176B0">
      <w:p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T</w:t>
      </w:r>
      <w:r w:rsidR="3ACE18D0" w:rsidRPr="00B277C1">
        <w:rPr>
          <w:rFonts w:ascii="Franklin Gothic Book" w:eastAsia="Franklin Gothic Book" w:hAnsi="Franklin Gothic Book" w:cs="Franklin Gothic Book"/>
        </w:rPr>
        <w:t xml:space="preserve">he following </w:t>
      </w:r>
      <w:r w:rsidRPr="00B277C1">
        <w:rPr>
          <w:rFonts w:ascii="Franklin Gothic Book" w:eastAsia="Franklin Gothic Book" w:hAnsi="Franklin Gothic Book" w:cs="Franklin Gothic Book"/>
        </w:rPr>
        <w:t xml:space="preserve">data is used for day-to-day decision-making </w:t>
      </w:r>
      <w:r w:rsidR="5726ACFF" w:rsidRPr="00B277C1">
        <w:rPr>
          <w:rFonts w:ascii="Franklin Gothic Book" w:eastAsia="Franklin Gothic Book" w:hAnsi="Franklin Gothic Book" w:cs="Franklin Gothic Book"/>
        </w:rPr>
        <w:t>that</w:t>
      </w:r>
      <w:r w:rsidRPr="00B277C1">
        <w:rPr>
          <w:rFonts w:ascii="Franklin Gothic Book" w:eastAsia="Franklin Gothic Book" w:hAnsi="Franklin Gothic Book" w:cs="Franklin Gothic Book"/>
        </w:rPr>
        <w:t xml:space="preserve"> support</w:t>
      </w:r>
      <w:r w:rsidR="1A3F3F4B" w:rsidRPr="00B277C1">
        <w:rPr>
          <w:rFonts w:ascii="Franklin Gothic Book" w:eastAsia="Franklin Gothic Book" w:hAnsi="Franklin Gothic Book" w:cs="Franklin Gothic Book"/>
        </w:rPr>
        <w:t>s</w:t>
      </w:r>
      <w:r w:rsidRPr="00B277C1">
        <w:rPr>
          <w:rFonts w:ascii="Franklin Gothic Book" w:eastAsia="Franklin Gothic Book" w:hAnsi="Franklin Gothic Book" w:cs="Franklin Gothic Book"/>
        </w:rPr>
        <w:t xml:space="preserve"> Purdue Promise scholars individually and collectively</w:t>
      </w:r>
      <w:r w:rsidR="100D31BC" w:rsidRPr="00B277C1">
        <w:rPr>
          <w:rFonts w:ascii="Franklin Gothic Book" w:eastAsia="Franklin Gothic Book" w:hAnsi="Franklin Gothic Book" w:cs="Franklin Gothic Book"/>
        </w:rPr>
        <w:t>:</w:t>
      </w:r>
    </w:p>
    <w:p w14:paraId="7A7A1019" w14:textId="77777777" w:rsidR="00F91EDA" w:rsidRPr="00B277C1" w:rsidRDefault="00F91EDA" w:rsidP="2B5176B0">
      <w:pPr>
        <w:pStyle w:val="ListParagraph"/>
        <w:numPr>
          <w:ilvl w:val="0"/>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Student Success Programs database</w:t>
      </w:r>
    </w:p>
    <w:p w14:paraId="20E37B3C" w14:textId="3DFE0B63" w:rsidR="00F91EDA" w:rsidRPr="00B277C1" w:rsidRDefault="546DCFF5"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R</w:t>
      </w:r>
      <w:r w:rsidR="00F91EDA" w:rsidRPr="00B277C1">
        <w:rPr>
          <w:rFonts w:ascii="Franklin Gothic Book" w:eastAsia="Franklin Gothic Book" w:hAnsi="Franklin Gothic Book" w:cs="Franklin Gothic Book"/>
        </w:rPr>
        <w:t>ecruitment eligibility list management and recruitment letters</w:t>
      </w:r>
    </w:p>
    <w:p w14:paraId="51FB7FF7" w14:textId="6F964409" w:rsidR="00F91EDA" w:rsidRPr="00B277C1" w:rsidRDefault="48B7792F"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w:t>
      </w:r>
      <w:r w:rsidR="00F91EDA" w:rsidRPr="00B277C1">
        <w:rPr>
          <w:rFonts w:ascii="Franklin Gothic Book" w:eastAsia="Franklin Gothic Book" w:hAnsi="Franklin Gothic Book" w:cs="Franklin Gothic Book"/>
        </w:rPr>
        <w:t>ontact logs</w:t>
      </w:r>
      <w:r w:rsidR="56053906" w:rsidRPr="00B277C1">
        <w:rPr>
          <w:rFonts w:ascii="Franklin Gothic Book" w:eastAsia="Franklin Gothic Book" w:hAnsi="Franklin Gothic Book" w:cs="Franklin Gothic Book"/>
        </w:rPr>
        <w:t xml:space="preserve"> for</w:t>
      </w:r>
      <w:r w:rsidR="00F91EDA" w:rsidRPr="00B277C1">
        <w:rPr>
          <w:rFonts w:ascii="Franklin Gothic Book" w:eastAsia="Franklin Gothic Book" w:hAnsi="Franklin Gothic Book" w:cs="Franklin Gothic Book"/>
        </w:rPr>
        <w:t xml:space="preserve"> e-mails, phone calls, social media outreach, and notes</w:t>
      </w:r>
    </w:p>
    <w:p w14:paraId="38691866" w14:textId="538EC62C" w:rsidR="00F91EDA" w:rsidRPr="00B277C1" w:rsidRDefault="48B7792F"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w:t>
      </w:r>
      <w:r w:rsidR="00F91EDA" w:rsidRPr="00B277C1">
        <w:rPr>
          <w:rFonts w:ascii="Franklin Gothic Book" w:eastAsia="Franklin Gothic Book" w:hAnsi="Franklin Gothic Book" w:cs="Franklin Gothic Book"/>
        </w:rPr>
        <w:t>ttendance tracking for events</w:t>
      </w:r>
    </w:p>
    <w:p w14:paraId="32D9C996" w14:textId="751463C0" w:rsidR="00F91EDA" w:rsidRPr="00B277C1" w:rsidRDefault="00FEBB15"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T</w:t>
      </w:r>
      <w:r w:rsidR="00F91EDA" w:rsidRPr="00B277C1">
        <w:rPr>
          <w:rFonts w:ascii="Franklin Gothic Book" w:eastAsia="Franklin Gothic Book" w:hAnsi="Franklin Gothic Book" w:cs="Franklin Gothic Book"/>
        </w:rPr>
        <w:t>racking program</w:t>
      </w:r>
      <w:r w:rsidR="7AEB9383" w:rsidRPr="00B277C1">
        <w:rPr>
          <w:rFonts w:ascii="Franklin Gothic Book" w:eastAsia="Franklin Gothic Book" w:hAnsi="Franklin Gothic Book" w:cs="Franklin Gothic Book"/>
        </w:rPr>
        <w:t xml:space="preserve"> and </w:t>
      </w:r>
      <w:r w:rsidR="00F91EDA" w:rsidRPr="00B277C1">
        <w:rPr>
          <w:rFonts w:ascii="Franklin Gothic Book" w:eastAsia="Franklin Gothic Book" w:hAnsi="Franklin Gothic Book" w:cs="Franklin Gothic Book"/>
        </w:rPr>
        <w:t>scholarship statuses by semester for Purdue Promise</w:t>
      </w:r>
      <w:r w:rsidR="00263FBA" w:rsidRPr="00B277C1">
        <w:rPr>
          <w:rFonts w:ascii="Franklin Gothic Book" w:eastAsia="Franklin Gothic Book" w:hAnsi="Franklin Gothic Book" w:cs="Franklin Gothic Book"/>
        </w:rPr>
        <w:t xml:space="preserve"> and </w:t>
      </w:r>
      <w:r w:rsidR="00F91EDA" w:rsidRPr="00B277C1">
        <w:rPr>
          <w:rFonts w:ascii="Franklin Gothic Book" w:eastAsia="Franklin Gothic Book" w:hAnsi="Franklin Gothic Book" w:cs="Franklin Gothic Book"/>
        </w:rPr>
        <w:t>21st Century Scholars</w:t>
      </w:r>
    </w:p>
    <w:p w14:paraId="681752BC" w14:textId="37E08A68" w:rsidR="00F91EDA" w:rsidRPr="00B277C1" w:rsidRDefault="3485E035"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w:t>
      </w:r>
      <w:r w:rsidR="00F91EDA" w:rsidRPr="00B277C1">
        <w:rPr>
          <w:rFonts w:ascii="Franklin Gothic Book" w:eastAsia="Franklin Gothic Book" w:hAnsi="Franklin Gothic Book" w:cs="Franklin Gothic Book"/>
        </w:rPr>
        <w:t>ssignment of Purdue Promise coaches</w:t>
      </w:r>
    </w:p>
    <w:p w14:paraId="34540B3C" w14:textId="77777777" w:rsidR="00F91EDA" w:rsidRPr="00B277C1" w:rsidRDefault="00F91EDA" w:rsidP="2B5176B0">
      <w:pPr>
        <w:pStyle w:val="ListParagraph"/>
        <w:numPr>
          <w:ilvl w:val="0"/>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Banner</w:t>
      </w:r>
    </w:p>
    <w:p w14:paraId="173FD06B" w14:textId="48FC2A75" w:rsidR="00F91EDA" w:rsidRPr="00B277C1" w:rsidRDefault="44A2288F"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w:t>
      </w:r>
      <w:r w:rsidR="00F91EDA" w:rsidRPr="00B277C1">
        <w:rPr>
          <w:rFonts w:ascii="Franklin Gothic Book" w:eastAsia="Franklin Gothic Book" w:hAnsi="Franklin Gothic Book" w:cs="Franklin Gothic Book"/>
        </w:rPr>
        <w:t>ssignment of Purdue Promise Coaches (SGAADVR)</w:t>
      </w:r>
    </w:p>
    <w:p w14:paraId="062B67A0" w14:textId="0DEFF4AE"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FAFSA edits and verification</w:t>
      </w:r>
      <w:r w:rsidR="5C5380BA" w:rsidRPr="00B277C1">
        <w:rPr>
          <w:rFonts w:ascii="Franklin Gothic Book" w:eastAsia="Franklin Gothic Book" w:hAnsi="Franklin Gothic Book" w:cs="Franklin Gothic Book"/>
        </w:rPr>
        <w:t xml:space="preserve"> plus</w:t>
      </w:r>
      <w:r w:rsidRPr="00B277C1">
        <w:rPr>
          <w:rFonts w:ascii="Franklin Gothic Book" w:eastAsia="Franklin Gothic Book" w:hAnsi="Franklin Gothic Book" w:cs="Franklin Gothic Book"/>
        </w:rPr>
        <w:t xml:space="preserve"> other financial aid requirements (RRAAREQ)</w:t>
      </w:r>
    </w:p>
    <w:p w14:paraId="4A3314EE" w14:textId="0A977F33" w:rsidR="00F91EDA" w:rsidRPr="00B277C1" w:rsidRDefault="30919BA9"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F</w:t>
      </w:r>
      <w:r w:rsidR="00F91EDA" w:rsidRPr="00B277C1">
        <w:rPr>
          <w:rFonts w:ascii="Franklin Gothic Book" w:eastAsia="Franklin Gothic Book" w:hAnsi="Franklin Gothic Book" w:cs="Franklin Gothic Book"/>
        </w:rPr>
        <w:t>inancial aid appeals (RRAAREQ)</w:t>
      </w:r>
    </w:p>
    <w:p w14:paraId="24B6C3F5" w14:textId="77777777" w:rsidR="00F91EDA" w:rsidRPr="00B277C1" w:rsidRDefault="00F91EDA" w:rsidP="2B5176B0">
      <w:pPr>
        <w:pStyle w:val="ListParagraph"/>
        <w:numPr>
          <w:ilvl w:val="0"/>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Cognos</w:t>
      </w:r>
    </w:p>
    <w:p w14:paraId="12884B26" w14:textId="10F54210"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PP &amp; 21st </w:t>
      </w:r>
      <w:r w:rsidR="00263FBA" w:rsidRPr="00B277C1">
        <w:rPr>
          <w:rFonts w:ascii="Franklin Gothic Book" w:eastAsia="Franklin Gothic Book" w:hAnsi="Franklin Gothic Book" w:cs="Franklin Gothic Book"/>
        </w:rPr>
        <w:t xml:space="preserve">Century Scholar </w:t>
      </w:r>
      <w:r w:rsidRPr="00B277C1">
        <w:rPr>
          <w:rFonts w:ascii="Franklin Gothic Book" w:eastAsia="Franklin Gothic Book" w:hAnsi="Franklin Gothic Book" w:cs="Franklin Gothic Book"/>
        </w:rPr>
        <w:t>Student List (EMAR)</w:t>
      </w:r>
    </w:p>
    <w:p w14:paraId="11B7ACAD" w14:textId="03F7AC1F"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Email (all types) (Person Demographic Package)</w:t>
      </w:r>
    </w:p>
    <w:p w14:paraId="4E682158"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List of Students by Academic Standing</w:t>
      </w:r>
    </w:p>
    <w:p w14:paraId="0BD4052A" w14:textId="018ABA2E"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Telephone (all types)</w:t>
      </w:r>
    </w:p>
    <w:p w14:paraId="5FD6C7B7"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Admits by Admission Attribute-Current and Past Semesters</w:t>
      </w:r>
    </w:p>
    <w:p w14:paraId="4DB89ECE" w14:textId="4BBD64C4"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Consolidated Report </w:t>
      </w:r>
      <w:r w:rsidR="00263FBA" w:rsidRPr="00B277C1">
        <w:rPr>
          <w:rFonts w:ascii="Franklin Gothic Book" w:eastAsia="Franklin Gothic Book" w:hAnsi="Franklin Gothic Book" w:cs="Franklin Gothic Book"/>
        </w:rPr>
        <w:t>on</w:t>
      </w:r>
      <w:r w:rsidRPr="00B277C1">
        <w:rPr>
          <w:rFonts w:ascii="Franklin Gothic Book" w:eastAsia="Franklin Gothic Book" w:hAnsi="Franklin Gothic Book" w:cs="Franklin Gothic Book"/>
        </w:rPr>
        <w:t xml:space="preserve"> Registered Students (Multiple semesters)</w:t>
      </w:r>
    </w:p>
    <w:p w14:paraId="3EB1312F"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List of Current Admits</w:t>
      </w:r>
    </w:p>
    <w:p w14:paraId="2EB8A494"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Pending and Awarded Degrees</w:t>
      </w:r>
    </w:p>
    <w:p w14:paraId="7C8E86B2"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Grade Roster – Multiple Terms</w:t>
      </w:r>
    </w:p>
    <w:p w14:paraId="02D25F11"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List of Students by Academic Standing</w:t>
      </w:r>
    </w:p>
    <w:p w14:paraId="2F387E30"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List of Student Credit Hours</w:t>
      </w:r>
    </w:p>
    <w:p w14:paraId="254DB51B"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Withdrawn Student Report</w:t>
      </w:r>
    </w:p>
    <w:p w14:paraId="31299318"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Active Student Holds</w:t>
      </w:r>
    </w:p>
    <w:p w14:paraId="4A4EC6E9" w14:textId="033897D9" w:rsidR="00C82DCC" w:rsidRPr="00B277C1" w:rsidRDefault="00C82DCC"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Students in Courses with Course Attributes</w:t>
      </w:r>
    </w:p>
    <w:p w14:paraId="22FCC1BC" w14:textId="77777777" w:rsidR="00F91EDA" w:rsidRPr="00B277C1" w:rsidRDefault="00F91EDA" w:rsidP="2B5176B0">
      <w:pPr>
        <w:pStyle w:val="ListParagraph"/>
        <w:numPr>
          <w:ilvl w:val="0"/>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ScholarTrack</w:t>
      </w:r>
    </w:p>
    <w:p w14:paraId="0198BAFA" w14:textId="3B9C297D" w:rsidR="00460A82" w:rsidRPr="00B277C1" w:rsidRDefault="456059A8"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H</w:t>
      </w:r>
      <w:r w:rsidR="00460A82" w:rsidRPr="00B277C1">
        <w:rPr>
          <w:rFonts w:ascii="Franklin Gothic Book" w:eastAsia="Franklin Gothic Book" w:hAnsi="Franklin Gothic Book" w:cs="Franklin Gothic Book"/>
        </w:rPr>
        <w:t xml:space="preserve">igh </w:t>
      </w:r>
      <w:r w:rsidR="623C971D" w:rsidRPr="00B277C1">
        <w:rPr>
          <w:rFonts w:ascii="Franklin Gothic Book" w:eastAsia="Franklin Gothic Book" w:hAnsi="Franklin Gothic Book" w:cs="Franklin Gothic Book"/>
        </w:rPr>
        <w:t>S</w:t>
      </w:r>
      <w:r w:rsidR="00460A82" w:rsidRPr="00B277C1">
        <w:rPr>
          <w:rFonts w:ascii="Franklin Gothic Book" w:eastAsia="Franklin Gothic Book" w:hAnsi="Franklin Gothic Book" w:cs="Franklin Gothic Book"/>
        </w:rPr>
        <w:t>chool Scholar Success Program completion</w:t>
      </w:r>
    </w:p>
    <w:p w14:paraId="01F62139" w14:textId="48B3392A" w:rsidR="00460A82" w:rsidRPr="00B277C1" w:rsidRDefault="47702151"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w:t>
      </w:r>
      <w:r w:rsidR="00460A82" w:rsidRPr="00B277C1">
        <w:rPr>
          <w:rFonts w:ascii="Franklin Gothic Book" w:eastAsia="Franklin Gothic Book" w:hAnsi="Franklin Gothic Book" w:cs="Franklin Gothic Book"/>
        </w:rPr>
        <w:t>redit completion</w:t>
      </w:r>
    </w:p>
    <w:p w14:paraId="5A6544D9" w14:textId="2F64CF2D" w:rsidR="00460A82" w:rsidRPr="00B277C1" w:rsidRDefault="47702151"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w:t>
      </w:r>
      <w:r w:rsidR="00460A82" w:rsidRPr="00B277C1">
        <w:rPr>
          <w:rFonts w:ascii="Franklin Gothic Book" w:eastAsia="Franklin Gothic Book" w:hAnsi="Franklin Gothic Book" w:cs="Franklin Gothic Book"/>
        </w:rPr>
        <w:t>redit bank</w:t>
      </w:r>
    </w:p>
    <w:p w14:paraId="55A0FDBF"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FAFSA completion</w:t>
      </w:r>
    </w:p>
    <w:p w14:paraId="1ECFA5F7" w14:textId="355E48EA" w:rsidR="00F91EDA" w:rsidRPr="00B277C1" w:rsidRDefault="1BAEAED8"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S</w:t>
      </w:r>
      <w:r w:rsidR="00F91EDA" w:rsidRPr="00B277C1">
        <w:rPr>
          <w:rFonts w:ascii="Franklin Gothic Book" w:eastAsia="Franklin Gothic Book" w:hAnsi="Franklin Gothic Book" w:cs="Franklin Gothic Book"/>
        </w:rPr>
        <w:t>cholarship appeals</w:t>
      </w:r>
    </w:p>
    <w:p w14:paraId="1F1EC37C" w14:textId="77777777" w:rsidR="00F91EDA" w:rsidRPr="00B277C1" w:rsidRDefault="00F91EDA" w:rsidP="2B5176B0">
      <w:pPr>
        <w:pStyle w:val="ListParagraph"/>
        <w:numPr>
          <w:ilvl w:val="0"/>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BoilerConnect</w:t>
      </w:r>
    </w:p>
    <w:p w14:paraId="7A3E1BD9" w14:textId="77777777" w:rsidR="00F91EDA" w:rsidRPr="00B277C1" w:rsidRDefault="00F91EDA"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Appointments scheduling and summaries </w:t>
      </w:r>
    </w:p>
    <w:p w14:paraId="5A5BA576" w14:textId="40F59A63" w:rsidR="00C82DCC" w:rsidRPr="00B277C1" w:rsidRDefault="00C82DCC" w:rsidP="00C82DCC">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Contact logs for text messages and notes</w:t>
      </w:r>
    </w:p>
    <w:p w14:paraId="3BBF4FB0" w14:textId="49882872" w:rsidR="00F91EDA" w:rsidRPr="00B277C1" w:rsidRDefault="34FD94B3"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w:t>
      </w:r>
      <w:r w:rsidR="00F91EDA" w:rsidRPr="00B277C1">
        <w:rPr>
          <w:rFonts w:ascii="Franklin Gothic Book" w:eastAsia="Franklin Gothic Book" w:hAnsi="Franklin Gothic Book" w:cs="Franklin Gothic Book"/>
        </w:rPr>
        <w:t>lerts</w:t>
      </w:r>
    </w:p>
    <w:p w14:paraId="3560F685" w14:textId="51A05C29" w:rsidR="00F91EDA" w:rsidRPr="00B277C1" w:rsidRDefault="1F464169"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w:t>
      </w:r>
      <w:r w:rsidR="00F91EDA" w:rsidRPr="00B277C1">
        <w:rPr>
          <w:rFonts w:ascii="Franklin Gothic Book" w:eastAsia="Franklin Gothic Book" w:hAnsi="Franklin Gothic Book" w:cs="Franklin Gothic Book"/>
        </w:rPr>
        <w:t>rogress reports</w:t>
      </w:r>
    </w:p>
    <w:p w14:paraId="58F825E8" w14:textId="336DC4A6" w:rsidR="00F91EDA" w:rsidRPr="00B277C1" w:rsidRDefault="07142AD7"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w:t>
      </w:r>
      <w:r w:rsidR="00F91EDA" w:rsidRPr="00B277C1">
        <w:rPr>
          <w:rFonts w:ascii="Franklin Gothic Book" w:eastAsia="Franklin Gothic Book" w:hAnsi="Franklin Gothic Book" w:cs="Franklin Gothic Book"/>
        </w:rPr>
        <w:t>ctivity dashboard and reports</w:t>
      </w:r>
    </w:p>
    <w:p w14:paraId="42D30DD9" w14:textId="4A2ACFF2" w:rsidR="00F91EDA" w:rsidRPr="00B277C1" w:rsidRDefault="42704B87"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w:t>
      </w:r>
      <w:r w:rsidR="00F91EDA" w:rsidRPr="00B277C1">
        <w:rPr>
          <w:rFonts w:ascii="Franklin Gothic Book" w:eastAsia="Franklin Gothic Book" w:hAnsi="Franklin Gothic Book" w:cs="Franklin Gothic Book"/>
        </w:rPr>
        <w:t>opulation health dashboard</w:t>
      </w:r>
    </w:p>
    <w:p w14:paraId="2F981EE7" w14:textId="77777777" w:rsidR="00C82DCC" w:rsidRPr="00B277C1" w:rsidRDefault="00C82DCC" w:rsidP="00C82DCC">
      <w:pPr>
        <w:pStyle w:val="ListParagraph"/>
        <w:numPr>
          <w:ilvl w:val="0"/>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Brightspace</w:t>
      </w:r>
    </w:p>
    <w:p w14:paraId="37FC8C73" w14:textId="6E441C5E" w:rsidR="00A95A67" w:rsidRPr="00B277C1" w:rsidRDefault="00A95A67" w:rsidP="00A95A67">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GS 197 and GS 405 assignments and content</w:t>
      </w:r>
    </w:p>
    <w:p w14:paraId="79E64DDE" w14:textId="77777777" w:rsidR="00C82DCC" w:rsidRPr="00B277C1" w:rsidRDefault="00C82DCC" w:rsidP="00C82DCC">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Purdue Promise Study Abroad applications (EDPS 490)</w:t>
      </w:r>
    </w:p>
    <w:p w14:paraId="74C1E0C5" w14:textId="77777777" w:rsidR="00A95A67" w:rsidRPr="00B277C1" w:rsidRDefault="00A95A67" w:rsidP="00A95A67">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EDPS 490 assignments (study abroad)</w:t>
      </w:r>
    </w:p>
    <w:p w14:paraId="35C70C22" w14:textId="77777777" w:rsidR="00F91EDA" w:rsidRPr="00B277C1" w:rsidRDefault="00F91EDA" w:rsidP="2B5176B0">
      <w:pPr>
        <w:pStyle w:val="ListParagraph"/>
        <w:numPr>
          <w:ilvl w:val="0"/>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Purdue Promise Program (not in other aforementioned databases)</w:t>
      </w:r>
    </w:p>
    <w:p w14:paraId="63BF7416" w14:textId="5C9EFC84" w:rsidR="00C82DCC" w:rsidRPr="00B277C1" w:rsidRDefault="00C82DCC" w:rsidP="00C82DCC">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Annual Purdue Promise </w:t>
      </w:r>
      <w:r w:rsidR="00A95A67" w:rsidRPr="00B277C1">
        <w:rPr>
          <w:rFonts w:ascii="Franklin Gothic Book" w:eastAsia="Franklin Gothic Book" w:hAnsi="Franklin Gothic Book" w:cs="Franklin Gothic Book"/>
        </w:rPr>
        <w:t>A</w:t>
      </w:r>
      <w:r w:rsidRPr="00B277C1">
        <w:rPr>
          <w:rFonts w:ascii="Franklin Gothic Book" w:eastAsia="Franklin Gothic Book" w:hAnsi="Franklin Gothic Book" w:cs="Franklin Gothic Book"/>
        </w:rPr>
        <w:t>greements (</w:t>
      </w:r>
      <w:proofErr w:type="spellStart"/>
      <w:r w:rsidRPr="00B277C1">
        <w:rPr>
          <w:rFonts w:ascii="Franklin Gothic Book" w:eastAsia="Franklin Gothic Book" w:hAnsi="Franklin Gothic Book" w:cs="Franklin Gothic Book"/>
        </w:rPr>
        <w:t>DocuSign</w:t>
      </w:r>
      <w:proofErr w:type="spellEnd"/>
      <w:r w:rsidRPr="00B277C1">
        <w:rPr>
          <w:rFonts w:ascii="Franklin Gothic Book" w:eastAsia="Franklin Gothic Book" w:hAnsi="Franklin Gothic Book" w:cs="Franklin Gothic Book"/>
        </w:rPr>
        <w:t>)</w:t>
      </w:r>
    </w:p>
    <w:p w14:paraId="30294713" w14:textId="23363E90" w:rsidR="00F91EDA" w:rsidRPr="00B277C1" w:rsidRDefault="4C9A90B9"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w:t>
      </w:r>
      <w:r w:rsidR="00F91EDA" w:rsidRPr="00B277C1">
        <w:rPr>
          <w:rFonts w:ascii="Franklin Gothic Book" w:eastAsia="Franklin Gothic Book" w:hAnsi="Franklin Gothic Book" w:cs="Franklin Gothic Book"/>
        </w:rPr>
        <w:t>aseload spreadsheets for each coach for each semester</w:t>
      </w:r>
    </w:p>
    <w:p w14:paraId="308E2AAD" w14:textId="687684B8" w:rsidR="00460A82" w:rsidRPr="00B277C1" w:rsidRDefault="00460A82" w:rsidP="2B5176B0">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Red Flags List</w:t>
      </w:r>
    </w:p>
    <w:p w14:paraId="1172EFA6" w14:textId="5F58333D" w:rsidR="00F91EDA" w:rsidRPr="00B277C1" w:rsidRDefault="00A95A67" w:rsidP="00CF349F">
      <w:pPr>
        <w:pStyle w:val="ListParagraph"/>
        <w:numPr>
          <w:ilvl w:val="1"/>
          <w:numId w:val="28"/>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lastRenderedPageBreak/>
        <w:t>S</w:t>
      </w:r>
      <w:r w:rsidR="00CF349F" w:rsidRPr="00B277C1">
        <w:rPr>
          <w:rFonts w:ascii="Franklin Gothic Book" w:eastAsia="Franklin Gothic Book" w:hAnsi="Franklin Gothic Book" w:cs="Franklin Gothic Book"/>
        </w:rPr>
        <w:t>urveys and assessments for GS 197, GS 405, EDPS 490, and programming (Qualtrics)</w:t>
      </w:r>
    </w:p>
    <w:p w14:paraId="258E0E10" w14:textId="77777777" w:rsidR="00F91EDA" w:rsidRPr="00B277C1" w:rsidRDefault="00F91EDA" w:rsidP="2B5176B0">
      <w:pPr>
        <w:pStyle w:val="ListParagraph"/>
        <w:spacing w:after="0" w:line="240" w:lineRule="auto"/>
        <w:ind w:left="1440"/>
        <w:rPr>
          <w:rFonts w:ascii="Franklin Gothic Book" w:eastAsia="Franklin Gothic Book" w:hAnsi="Franklin Gothic Book" w:cs="Franklin Gothic Book"/>
        </w:rPr>
      </w:pPr>
    </w:p>
    <w:p w14:paraId="55BE4564" w14:textId="77777777" w:rsidR="00F91EDA" w:rsidRPr="00B277C1" w:rsidRDefault="00F91EDA" w:rsidP="2B5176B0">
      <w:pPr>
        <w:pStyle w:val="Heading2"/>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Aspirational Assessment: Research Questions</w:t>
      </w:r>
    </w:p>
    <w:p w14:paraId="7F78F566" w14:textId="1065E52F" w:rsidR="00F91EDA" w:rsidRPr="00B277C1" w:rsidRDefault="00F91EDA" w:rsidP="2B5176B0">
      <w:p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The Purdue Promise staff aspires to answer the following research questions, </w:t>
      </w:r>
      <w:r w:rsidR="1E69B3FE" w:rsidRPr="00B277C1">
        <w:rPr>
          <w:rFonts w:ascii="Franklin Gothic Book" w:eastAsia="Franklin Gothic Book" w:hAnsi="Franklin Gothic Book" w:cs="Franklin Gothic Book"/>
        </w:rPr>
        <w:t xml:space="preserve">though </w:t>
      </w:r>
      <w:r w:rsidRPr="00B277C1">
        <w:rPr>
          <w:rFonts w:ascii="Franklin Gothic Book" w:eastAsia="Franklin Gothic Book" w:hAnsi="Franklin Gothic Book" w:cs="Franklin Gothic Book"/>
        </w:rPr>
        <w:t>this is not an exhaustive list. It is important to note that Purdue Promise scholars are historically more likely to identify as first-generation students, underrepresented minorities</w:t>
      </w:r>
      <w:r w:rsidR="1D3F8F9C"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or female compared to their Purdue peers. Whenever possible, data should be disaggregated, and intersectional identities should be considered.</w:t>
      </w:r>
    </w:p>
    <w:p w14:paraId="5E6B55B8" w14:textId="10438BF9" w:rsidR="00F91EDA" w:rsidRPr="00B277C1" w:rsidRDefault="00F91EDA" w:rsidP="2B5176B0">
      <w:pPr>
        <w:pStyle w:val="ListParagraph"/>
        <w:numPr>
          <w:ilvl w:val="0"/>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How does Purdue Promise students’ participation in student success coaching influence their (a) retention, (b) academic outcomes, (c) completion</w:t>
      </w:r>
      <w:r w:rsidR="2E49EF8A"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 xml:space="preserve">and (d) First Destination Survey outcomes? What themes emerge when students </w:t>
      </w:r>
      <w:r w:rsidR="00CF349F" w:rsidRPr="00B277C1">
        <w:rPr>
          <w:rFonts w:ascii="Franklin Gothic Book" w:eastAsia="Franklin Gothic Book" w:hAnsi="Franklin Gothic Book" w:cs="Franklin Gothic Book"/>
        </w:rPr>
        <w:t>share</w:t>
      </w:r>
      <w:r w:rsidRPr="00B277C1">
        <w:rPr>
          <w:rFonts w:ascii="Franklin Gothic Book" w:eastAsia="Franklin Gothic Book" w:hAnsi="Franklin Gothic Book" w:cs="Franklin Gothic Book"/>
        </w:rPr>
        <w:t xml:space="preserve"> their student success coaching experiences? How do those themes further explain their retention, academic outcomes, completion and First Destination Survey outcomes?</w:t>
      </w:r>
    </w:p>
    <w:p w14:paraId="481520A2" w14:textId="5621EC1A" w:rsidR="002A5023" w:rsidRPr="00B277C1" w:rsidRDefault="002A5023" w:rsidP="2B5176B0">
      <w:pPr>
        <w:pStyle w:val="ListParagraph"/>
        <w:numPr>
          <w:ilvl w:val="0"/>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Does participation in the Purdue Promise program </w:t>
      </w:r>
      <w:bookmarkStart w:id="1" w:name="_Int_w0R2NQPw"/>
      <w:r w:rsidRPr="00B277C1">
        <w:rPr>
          <w:rFonts w:ascii="Franklin Gothic Book" w:eastAsia="Franklin Gothic Book" w:hAnsi="Franklin Gothic Book" w:cs="Franklin Gothic Book"/>
        </w:rPr>
        <w:t>increase</w:t>
      </w:r>
      <w:bookmarkEnd w:id="1"/>
      <w:r w:rsidRPr="00B277C1">
        <w:rPr>
          <w:rFonts w:ascii="Franklin Gothic Book" w:eastAsia="Franklin Gothic Book" w:hAnsi="Franklin Gothic Book" w:cs="Franklin Gothic Book"/>
        </w:rPr>
        <w:t xml:space="preserve"> the likelihood of being successful for </w:t>
      </w:r>
      <w:r w:rsidR="57A1CCC3" w:rsidRPr="00B277C1">
        <w:rPr>
          <w:rFonts w:ascii="Franklin Gothic Book" w:eastAsia="Franklin Gothic Book" w:hAnsi="Franklin Gothic Book" w:cs="Franklin Gothic Book"/>
        </w:rPr>
        <w:t xml:space="preserve">most </w:t>
      </w:r>
      <w:r w:rsidRPr="00B277C1">
        <w:rPr>
          <w:rFonts w:ascii="Franklin Gothic Book" w:eastAsia="Franklin Gothic Book" w:hAnsi="Franklin Gothic Book" w:cs="Franklin Gothic Book"/>
        </w:rPr>
        <w:t>students who identify as first-generation or an underrepresented minority?</w:t>
      </w:r>
    </w:p>
    <w:p w14:paraId="454B2DEA" w14:textId="6B4B3462" w:rsidR="00F91EDA" w:rsidRPr="00B277C1" w:rsidRDefault="00F91EDA" w:rsidP="2B5176B0">
      <w:pPr>
        <w:pStyle w:val="ListParagraph"/>
        <w:numPr>
          <w:ilvl w:val="0"/>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How do Purdue Promise students’ engagement with the following units at Purdue University compare to (a) 21st Century Scholars not served by Purdue Promise, (b) all undergraduate Indiana residents and (c) all Purdue undergraduates?</w:t>
      </w:r>
    </w:p>
    <w:p w14:paraId="702D3409" w14:textId="77777777" w:rsidR="00F91EDA" w:rsidRPr="00B277C1" w:rsidRDefault="00F91EDA" w:rsidP="2B5176B0">
      <w:pPr>
        <w:pStyle w:val="ListParagraph"/>
        <w:numPr>
          <w:ilvl w:val="1"/>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Office of the Dean of Students</w:t>
      </w:r>
    </w:p>
    <w:p w14:paraId="113228CB" w14:textId="77777777" w:rsidR="00F91EDA" w:rsidRPr="00B277C1" w:rsidRDefault="00F91EDA" w:rsidP="2B5176B0">
      <w:pPr>
        <w:pStyle w:val="ListParagraph"/>
        <w:numPr>
          <w:ilvl w:val="1"/>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Office of Student Rights and Responsibilities</w:t>
      </w:r>
    </w:p>
    <w:p w14:paraId="4C53C066" w14:textId="77777777" w:rsidR="00F91EDA" w:rsidRPr="00B277C1" w:rsidRDefault="00F91EDA" w:rsidP="2B5176B0">
      <w:pPr>
        <w:pStyle w:val="ListParagraph"/>
        <w:numPr>
          <w:ilvl w:val="1"/>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University Residences</w:t>
      </w:r>
    </w:p>
    <w:p w14:paraId="4408DBED" w14:textId="77777777" w:rsidR="00F91EDA" w:rsidRPr="00B277C1" w:rsidRDefault="00F91EDA" w:rsidP="2B5176B0">
      <w:pPr>
        <w:pStyle w:val="ListParagraph"/>
        <w:numPr>
          <w:ilvl w:val="1"/>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Counseling and Psychological Services</w:t>
      </w:r>
    </w:p>
    <w:p w14:paraId="22E9E8E5" w14:textId="77777777" w:rsidR="00F91EDA" w:rsidRPr="00B277C1" w:rsidRDefault="00F91EDA" w:rsidP="2B5176B0">
      <w:pPr>
        <w:pStyle w:val="ListParagraph"/>
        <w:numPr>
          <w:ilvl w:val="1"/>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Undergraduate Academic Advising</w:t>
      </w:r>
    </w:p>
    <w:p w14:paraId="695F14C9" w14:textId="455EF3E8" w:rsidR="002A5023" w:rsidRPr="00B277C1" w:rsidRDefault="002A5023" w:rsidP="2B5176B0">
      <w:pPr>
        <w:pStyle w:val="ListParagraph"/>
        <w:numPr>
          <w:ilvl w:val="0"/>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How do the First Destination Survey outcomes for Purdue Promise students compare to outcomes for (a) 21st Century Scholars not served by Purdue Promise, (b) all undergraduate Indiana resident graduates and (c) all Purdue undergraduates? What are the contributing factors for any differences in outcomes?</w:t>
      </w:r>
    </w:p>
    <w:p w14:paraId="0DA40DB6" w14:textId="519973E3" w:rsidR="002A5023" w:rsidRPr="00B277C1" w:rsidRDefault="00F91EDA" w:rsidP="2B5176B0">
      <w:pPr>
        <w:pStyle w:val="ListParagraph"/>
        <w:numPr>
          <w:ilvl w:val="0"/>
          <w:numId w:val="29"/>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How does the student loan debt of Purdue Promise graduates historically compare to student loan debt of (a) 21st Century Scholars not served by Purdue Promise, (b) all undergraduate Indiana resident graduates and (c) all Purdue undergraduates?</w:t>
      </w:r>
    </w:p>
    <w:p w14:paraId="6E37E3C8" w14:textId="731DBB04" w:rsidR="00791C76" w:rsidRPr="00B277C1" w:rsidRDefault="00791C76" w:rsidP="2B5176B0">
      <w:pPr>
        <w:spacing w:after="0" w:line="240" w:lineRule="auto"/>
        <w:rPr>
          <w:rFonts w:ascii="Franklin Gothic Book" w:eastAsia="Franklin Gothic Book" w:hAnsi="Franklin Gothic Book" w:cs="Franklin Gothic Book"/>
        </w:rPr>
      </w:pPr>
    </w:p>
    <w:p w14:paraId="45EE9FDA" w14:textId="77777777" w:rsidR="00F91EDA" w:rsidRPr="00B277C1" w:rsidRDefault="00F91EDA" w:rsidP="2B5176B0">
      <w:pPr>
        <w:pStyle w:val="Heading2"/>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Aspirational Assessment Plans</w:t>
      </w:r>
    </w:p>
    <w:p w14:paraId="6E77415D" w14:textId="5F4F6F10" w:rsidR="00F91EDA" w:rsidRPr="00B277C1" w:rsidRDefault="00F91EDA" w:rsidP="2B5176B0">
      <w:pPr>
        <w:pStyle w:val="ListParagraph"/>
        <w:numPr>
          <w:ilvl w:val="0"/>
          <w:numId w:val="30"/>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Analyze data from leavers, stayers and contemplators to better understand Purdue Promise students’ attrition, completion and retention. </w:t>
      </w:r>
    </w:p>
    <w:p w14:paraId="70137E73" w14:textId="715A5B9B" w:rsidR="00F91EDA" w:rsidRPr="00B277C1" w:rsidRDefault="00F91EDA" w:rsidP="2B5176B0">
      <w:pPr>
        <w:pStyle w:val="ListParagraph"/>
        <w:numPr>
          <w:ilvl w:val="0"/>
          <w:numId w:val="30"/>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Analyze data from the Tableau dashboard created to understand challenges Purdue Promise students persist through and challenges that become barriers to </w:t>
      </w:r>
      <w:r w:rsidR="60491916" w:rsidRPr="00B277C1">
        <w:rPr>
          <w:rFonts w:ascii="Franklin Gothic Book" w:eastAsia="Franklin Gothic Book" w:hAnsi="Franklin Gothic Book" w:cs="Franklin Gothic Book"/>
        </w:rPr>
        <w:t xml:space="preserve">their </w:t>
      </w:r>
      <w:r w:rsidRPr="00B277C1">
        <w:rPr>
          <w:rFonts w:ascii="Franklin Gothic Book" w:eastAsia="Franklin Gothic Book" w:hAnsi="Franklin Gothic Book" w:cs="Franklin Gothic Book"/>
        </w:rPr>
        <w:t xml:space="preserve">success. </w:t>
      </w:r>
    </w:p>
    <w:p w14:paraId="36E6F0BF" w14:textId="5CB31821" w:rsidR="00F91EDA" w:rsidRPr="00B277C1" w:rsidRDefault="00F91EDA" w:rsidP="2B5176B0">
      <w:pPr>
        <w:pStyle w:val="ListParagraph"/>
        <w:numPr>
          <w:ilvl w:val="0"/>
          <w:numId w:val="30"/>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Analyze data from the Purdue Promise senior survey.</w:t>
      </w:r>
    </w:p>
    <w:p w14:paraId="54AEA9AD" w14:textId="5FA46155" w:rsidR="00F91EDA" w:rsidRPr="00B277C1" w:rsidRDefault="00F91EDA" w:rsidP="2B5176B0">
      <w:pPr>
        <w:pStyle w:val="ListParagraph"/>
        <w:numPr>
          <w:ilvl w:val="0"/>
          <w:numId w:val="30"/>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 xml:space="preserve">Analyze data from the </w:t>
      </w:r>
      <w:r w:rsidR="002A5023" w:rsidRPr="00B277C1">
        <w:rPr>
          <w:rFonts w:ascii="Franklin Gothic Book" w:eastAsia="Franklin Gothic Book" w:hAnsi="Franklin Gothic Book" w:cs="Franklin Gothic Book"/>
        </w:rPr>
        <w:t xml:space="preserve">Coaching </w:t>
      </w:r>
      <w:r w:rsidRPr="00B277C1">
        <w:rPr>
          <w:rFonts w:ascii="Franklin Gothic Book" w:eastAsia="Franklin Gothic Book" w:hAnsi="Franklin Gothic Book" w:cs="Franklin Gothic Book"/>
        </w:rPr>
        <w:t xml:space="preserve">After Appointment Survey. </w:t>
      </w:r>
    </w:p>
    <w:p w14:paraId="4BB026F7" w14:textId="65237C8B" w:rsidR="00F91EDA" w:rsidRPr="00B277C1" w:rsidRDefault="00F91EDA" w:rsidP="2B5176B0">
      <w:pPr>
        <w:pStyle w:val="ListParagraph"/>
        <w:numPr>
          <w:ilvl w:val="0"/>
          <w:numId w:val="30"/>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Develop a logic model to understand shared relationships among resources, activities, outputs, outcomes and impact</w:t>
      </w:r>
      <w:r w:rsidR="00D4BC74" w:rsidRPr="00B277C1">
        <w:rPr>
          <w:rFonts w:ascii="Franklin Gothic Book" w:eastAsia="Franklin Gothic Book" w:hAnsi="Franklin Gothic Book" w:cs="Franklin Gothic Book"/>
        </w:rPr>
        <w:t>s</w:t>
      </w:r>
      <w:r w:rsidRPr="00B277C1">
        <w:rPr>
          <w:rFonts w:ascii="Franklin Gothic Book" w:eastAsia="Franklin Gothic Book" w:hAnsi="Franklin Gothic Book" w:cs="Franklin Gothic Book"/>
        </w:rPr>
        <w:t xml:space="preserve"> for Purdue Promise.</w:t>
      </w:r>
    </w:p>
    <w:p w14:paraId="6507D943" w14:textId="7D2585EA" w:rsidR="00F91EDA" w:rsidRPr="00B277C1" w:rsidRDefault="00F91EDA" w:rsidP="2B5176B0">
      <w:pPr>
        <w:pStyle w:val="ListParagraph"/>
        <w:numPr>
          <w:ilvl w:val="0"/>
          <w:numId w:val="30"/>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Conduct a twin study that compares outcomes for Purdue Promise students and outcomes for other undergraduate Indiana residents with a total family income of $50,000 or less</w:t>
      </w:r>
      <w:r w:rsidR="1BA18AAF" w:rsidRPr="00B277C1">
        <w:rPr>
          <w:rFonts w:ascii="Franklin Gothic Book" w:eastAsia="Franklin Gothic Book" w:hAnsi="Franklin Gothic Book" w:cs="Franklin Gothic Book"/>
        </w:rPr>
        <w:t>,</w:t>
      </w:r>
      <w:r w:rsidR="002A5023" w:rsidRPr="00B277C1">
        <w:rPr>
          <w:rFonts w:ascii="Franklin Gothic Book" w:eastAsia="Franklin Gothic Book" w:hAnsi="Franklin Gothic Book" w:cs="Franklin Gothic Book"/>
        </w:rPr>
        <w:t xml:space="preserve"> including debt ratio</w:t>
      </w:r>
      <w:r w:rsidRPr="00B277C1">
        <w:rPr>
          <w:rFonts w:ascii="Franklin Gothic Book" w:eastAsia="Franklin Gothic Book" w:hAnsi="Franklin Gothic Book" w:cs="Franklin Gothic Book"/>
        </w:rPr>
        <w:t xml:space="preserve">.  </w:t>
      </w:r>
    </w:p>
    <w:p w14:paraId="46649E0F" w14:textId="77777777" w:rsidR="00352CE1" w:rsidRPr="00B277C1" w:rsidRDefault="00F91EDA" w:rsidP="00263FBA">
      <w:pPr>
        <w:pStyle w:val="ListParagraph"/>
        <w:numPr>
          <w:ilvl w:val="0"/>
          <w:numId w:val="30"/>
        </w:numPr>
        <w:spacing w:after="0" w:line="240" w:lineRule="auto"/>
        <w:rPr>
          <w:rFonts w:ascii="Franklin Gothic Book" w:eastAsia="Franklin Gothic Book" w:hAnsi="Franklin Gothic Book" w:cs="Franklin Gothic Book"/>
        </w:rPr>
      </w:pPr>
      <w:r w:rsidRPr="00B277C1">
        <w:rPr>
          <w:rFonts w:ascii="Franklin Gothic Book" w:eastAsia="Franklin Gothic Book" w:hAnsi="Franklin Gothic Book" w:cs="Franklin Gothic Book"/>
        </w:rPr>
        <w:t>Analyze data of student use with various campus partners against data for various comparison groups in areas such as</w:t>
      </w:r>
      <w:r w:rsidR="6AE10499" w:rsidRPr="00B277C1">
        <w:rPr>
          <w:rFonts w:ascii="Franklin Gothic Book" w:eastAsia="Franklin Gothic Book" w:hAnsi="Franklin Gothic Book" w:cs="Franklin Gothic Book"/>
        </w:rPr>
        <w:t xml:space="preserve"> </w:t>
      </w:r>
      <w:r w:rsidRPr="00B277C1">
        <w:rPr>
          <w:rFonts w:ascii="Franklin Gothic Book" w:eastAsia="Franklin Gothic Book" w:hAnsi="Franklin Gothic Book" w:cs="Franklin Gothic Book"/>
        </w:rPr>
        <w:t xml:space="preserve">Student of Concern reports; Student Conduct processes; engagement with Counseling and Psychological Services; </w:t>
      </w:r>
      <w:r w:rsidR="78A15220" w:rsidRPr="00B277C1">
        <w:rPr>
          <w:rFonts w:ascii="Franklin Gothic Book" w:eastAsia="Franklin Gothic Book" w:hAnsi="Franklin Gothic Book" w:cs="Franklin Gothic Book"/>
        </w:rPr>
        <w:t>u</w:t>
      </w:r>
      <w:r w:rsidRPr="00B277C1">
        <w:rPr>
          <w:rFonts w:ascii="Franklin Gothic Book" w:eastAsia="Franklin Gothic Book" w:hAnsi="Franklin Gothic Book" w:cs="Franklin Gothic Book"/>
        </w:rPr>
        <w:t xml:space="preserve">se of emergency loans; </w:t>
      </w:r>
      <w:r w:rsidR="6D10CEAC" w:rsidRPr="00B277C1">
        <w:rPr>
          <w:rFonts w:ascii="Franklin Gothic Book" w:eastAsia="Franklin Gothic Book" w:hAnsi="Franklin Gothic Book" w:cs="Franklin Gothic Book"/>
        </w:rPr>
        <w:t xml:space="preserve">and </w:t>
      </w:r>
      <w:r w:rsidRPr="00B277C1">
        <w:rPr>
          <w:rFonts w:ascii="Franklin Gothic Book" w:eastAsia="Franklin Gothic Book" w:hAnsi="Franklin Gothic Book" w:cs="Franklin Gothic Book"/>
        </w:rPr>
        <w:t xml:space="preserve">engagement in processes and supports pertaining to undergraduate </w:t>
      </w:r>
      <w:r w:rsidR="75628AEF" w:rsidRPr="00B277C1">
        <w:rPr>
          <w:rFonts w:ascii="Franklin Gothic Book" w:eastAsia="Franklin Gothic Book" w:hAnsi="Franklin Gothic Book" w:cs="Franklin Gothic Book"/>
        </w:rPr>
        <w:t>a</w:t>
      </w:r>
      <w:r w:rsidRPr="00B277C1">
        <w:rPr>
          <w:rFonts w:ascii="Franklin Gothic Book" w:eastAsia="Franklin Gothic Book" w:hAnsi="Franklin Gothic Book" w:cs="Franklin Gothic Book"/>
        </w:rPr>
        <w:t xml:space="preserve">cademic </w:t>
      </w:r>
      <w:r w:rsidR="1F5CFF09" w:rsidRPr="00B277C1">
        <w:rPr>
          <w:rFonts w:ascii="Franklin Gothic Book" w:eastAsia="Franklin Gothic Book" w:hAnsi="Franklin Gothic Book" w:cs="Franklin Gothic Book"/>
        </w:rPr>
        <w:t>a</w:t>
      </w:r>
      <w:r w:rsidRPr="00B277C1">
        <w:rPr>
          <w:rFonts w:ascii="Franklin Gothic Book" w:eastAsia="Franklin Gothic Book" w:hAnsi="Franklin Gothic Book" w:cs="Franklin Gothic Book"/>
        </w:rPr>
        <w:t>dvisin</w:t>
      </w:r>
      <w:r w:rsidR="00263FBA" w:rsidRPr="00B277C1">
        <w:rPr>
          <w:rFonts w:ascii="Franklin Gothic Book" w:eastAsia="Franklin Gothic Book" w:hAnsi="Franklin Gothic Book" w:cs="Franklin Gothic Book"/>
        </w:rPr>
        <w:t>g</w:t>
      </w:r>
      <w:r w:rsidR="00352CE1" w:rsidRPr="00B277C1">
        <w:rPr>
          <w:rFonts w:ascii="Franklin Gothic Book" w:eastAsia="Franklin Gothic Book" w:hAnsi="Franklin Gothic Book" w:cs="Franklin Gothic Book"/>
        </w:rPr>
        <w:t>.</w:t>
      </w:r>
      <w:r w:rsidR="00352CE1" w:rsidRPr="00B277C1">
        <w:rPr>
          <w:rFonts w:ascii="Franklin Gothic Book" w:eastAsia="Franklin Gothic Book" w:hAnsi="Franklin Gothic Book" w:cs="Franklin Gothic Book"/>
          <w:i/>
          <w:iCs/>
          <w:noProof/>
        </w:rPr>
        <w:t xml:space="preserve"> </w:t>
      </w:r>
    </w:p>
    <w:p w14:paraId="0AFF6515" w14:textId="470B8315" w:rsidR="00F2735F" w:rsidRDefault="00F2735F">
      <w:pPr>
        <w:rPr>
          <w:rFonts w:ascii="Franklin Gothic Book" w:eastAsia="Franklin Gothic Book" w:hAnsi="Franklin Gothic Book" w:cs="Franklin Gothic Book"/>
          <w:sz w:val="23"/>
          <w:szCs w:val="23"/>
        </w:rPr>
      </w:pPr>
      <w:r>
        <w:rPr>
          <w:rFonts w:ascii="Franklin Gothic Book" w:eastAsia="Franklin Gothic Book" w:hAnsi="Franklin Gothic Book" w:cs="Franklin Gothic Book"/>
          <w:sz w:val="23"/>
          <w:szCs w:val="23"/>
        </w:rPr>
        <w:br w:type="page"/>
      </w:r>
    </w:p>
    <w:p w14:paraId="481E078E" w14:textId="77777777" w:rsidR="00F2735F" w:rsidRDefault="00F2735F" w:rsidP="00316356">
      <w:pPr>
        <w:spacing w:after="0" w:line="240" w:lineRule="auto"/>
        <w:ind w:left="360"/>
        <w:jc w:val="center"/>
        <w:rPr>
          <w:rFonts w:ascii="Times New Roman" w:hAnsi="Times New Roman" w:cs="Times New Roman"/>
        </w:rPr>
      </w:pPr>
    </w:p>
    <w:p w14:paraId="52E318F0" w14:textId="6C2AFC4D" w:rsidR="00B514AD" w:rsidRPr="00FF3A34" w:rsidRDefault="00352CE1" w:rsidP="00316356">
      <w:pPr>
        <w:spacing w:after="0" w:line="240" w:lineRule="auto"/>
        <w:ind w:left="360"/>
        <w:jc w:val="center"/>
        <w:rPr>
          <w:rFonts w:ascii="Times New Roman" w:hAnsi="Times New Roman" w:cs="Times New Roman"/>
        </w:rPr>
      </w:pPr>
      <w:r w:rsidRPr="008E62CB">
        <w:rPr>
          <w:noProof/>
        </w:rPr>
        <w:drawing>
          <wp:inline distT="0" distB="0" distL="0" distR="0" wp14:anchorId="17AD5150" wp14:editId="048668BF">
            <wp:extent cx="3756744" cy="4946073"/>
            <wp:effectExtent l="0" t="0" r="0" b="6985"/>
            <wp:docPr id="1694425495" name="Picture 1" descr="This is the Purdue Promise graphic illustration of the program elements and progress over 4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25495" name="Picture 1" descr="This is the Purdue Promise graphic illustration of the program elements and progress over 4 years. "/>
                    <pic:cNvPicPr/>
                  </pic:nvPicPr>
                  <pic:blipFill rotWithShape="1">
                    <a:blip r:embed="rId19"/>
                    <a:srcRect l="3785" t="3050" r="4829"/>
                    <a:stretch>
                      <a:fillRect/>
                    </a:stretch>
                  </pic:blipFill>
                  <pic:spPr bwMode="auto">
                    <a:xfrm>
                      <a:off x="0" y="0"/>
                      <a:ext cx="3783533" cy="4981342"/>
                    </a:xfrm>
                    <a:prstGeom prst="rect">
                      <a:avLst/>
                    </a:prstGeom>
                    <a:ln>
                      <a:noFill/>
                    </a:ln>
                    <a:extLst>
                      <a:ext uri="{53640926-AAD7-44D8-BBD7-CCE9431645EC}">
                        <a14:shadowObscured xmlns:a14="http://schemas.microsoft.com/office/drawing/2010/main"/>
                      </a:ext>
                    </a:extLst>
                  </pic:spPr>
                </pic:pic>
              </a:graphicData>
            </a:graphic>
          </wp:inline>
        </w:drawing>
      </w:r>
    </w:p>
    <w:sectPr w:rsidR="00B514AD" w:rsidRPr="00FF3A34">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2A94" w14:textId="77777777" w:rsidR="00BC30D5" w:rsidRDefault="00BC30D5" w:rsidP="003975C2">
      <w:pPr>
        <w:spacing w:after="0" w:line="240" w:lineRule="auto"/>
      </w:pPr>
      <w:r>
        <w:separator/>
      </w:r>
    </w:p>
  </w:endnote>
  <w:endnote w:type="continuationSeparator" w:id="0">
    <w:p w14:paraId="183E8CE7" w14:textId="77777777" w:rsidR="00BC30D5" w:rsidRDefault="00BC30D5" w:rsidP="0039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5B36" w14:textId="295F1F30" w:rsidR="00226195" w:rsidRDefault="00226195">
    <w:pPr>
      <w:pStyle w:val="Footer"/>
    </w:pPr>
    <w:r>
      <w:t xml:space="preserve">Last updated: </w:t>
    </w:r>
    <w:r>
      <w:fldChar w:fldCharType="begin"/>
    </w:r>
    <w:r>
      <w:instrText xml:space="preserve"> DATE \@ "MMMM d, yyyy" </w:instrText>
    </w:r>
    <w:r>
      <w:fldChar w:fldCharType="separate"/>
    </w:r>
    <w:r w:rsidR="00792628">
      <w:rPr>
        <w:noProof/>
      </w:rPr>
      <w:t>December 3, 2025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5176B0" w14:paraId="582BE26A" w14:textId="77777777" w:rsidTr="2B5176B0">
      <w:trPr>
        <w:trHeight w:val="300"/>
      </w:trPr>
      <w:tc>
        <w:tcPr>
          <w:tcW w:w="3120" w:type="dxa"/>
        </w:tcPr>
        <w:p w14:paraId="0F3F6F03" w14:textId="09811DBE" w:rsidR="2B5176B0" w:rsidRDefault="2B5176B0" w:rsidP="2B5176B0">
          <w:pPr>
            <w:pStyle w:val="Header"/>
            <w:ind w:left="-115"/>
          </w:pPr>
        </w:p>
      </w:tc>
      <w:tc>
        <w:tcPr>
          <w:tcW w:w="3120" w:type="dxa"/>
        </w:tcPr>
        <w:p w14:paraId="6071BB2B" w14:textId="213DD97B" w:rsidR="2B5176B0" w:rsidRDefault="2B5176B0" w:rsidP="2B5176B0">
          <w:pPr>
            <w:pStyle w:val="Header"/>
            <w:jc w:val="center"/>
          </w:pPr>
        </w:p>
      </w:tc>
      <w:tc>
        <w:tcPr>
          <w:tcW w:w="3120" w:type="dxa"/>
        </w:tcPr>
        <w:p w14:paraId="5AEA3C58" w14:textId="53B5C1BD" w:rsidR="2B5176B0" w:rsidRDefault="2B5176B0" w:rsidP="2B5176B0">
          <w:pPr>
            <w:pStyle w:val="Header"/>
            <w:ind w:right="-115"/>
            <w:jc w:val="right"/>
          </w:pPr>
        </w:p>
      </w:tc>
    </w:tr>
  </w:tbl>
  <w:p w14:paraId="23A37A34" w14:textId="61755551" w:rsidR="2B5176B0" w:rsidRDefault="2B5176B0" w:rsidP="2B51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48A6" w14:textId="77777777" w:rsidR="00BC30D5" w:rsidRDefault="00BC30D5" w:rsidP="003975C2">
      <w:pPr>
        <w:spacing w:after="0" w:line="240" w:lineRule="auto"/>
      </w:pPr>
      <w:r>
        <w:separator/>
      </w:r>
    </w:p>
  </w:footnote>
  <w:footnote w:type="continuationSeparator" w:id="0">
    <w:p w14:paraId="387F4C87" w14:textId="77777777" w:rsidR="00BC30D5" w:rsidRDefault="00BC30D5" w:rsidP="0039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05A7" w14:textId="6845A55E" w:rsidR="00226195" w:rsidRDefault="00226195">
    <w:pPr>
      <w:pStyle w:val="Header"/>
    </w:pPr>
    <w:r>
      <w:rPr>
        <w:noProof/>
      </w:rPr>
      <w:drawing>
        <wp:inline distT="0" distB="0" distL="0" distR="0" wp14:anchorId="1F3ACA36" wp14:editId="5B7CEEF7">
          <wp:extent cx="4324350" cy="463550"/>
          <wp:effectExtent l="0" t="0" r="0" b="0"/>
          <wp:docPr id="6" name="Picture 6" descr="Purdue Promise co-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78\AppData\Local\Microsoft\Windows\INetCache\Content.Word\PPROM_H-Full-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3550"/>
                  </a:xfrm>
                  <a:prstGeom prst="rect">
                    <a:avLst/>
                  </a:prstGeom>
                  <a:noFill/>
                  <a:ln>
                    <a:noFill/>
                  </a:ln>
                </pic:spPr>
              </pic:pic>
            </a:graphicData>
          </a:graphic>
        </wp:inline>
      </w:drawing>
    </w:r>
  </w:p>
  <w:p w14:paraId="6213B301" w14:textId="77777777" w:rsidR="00226195" w:rsidRDefault="0022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B5176B0" w14:paraId="744EA1FD" w14:textId="77777777" w:rsidTr="2B5176B0">
      <w:trPr>
        <w:trHeight w:val="300"/>
      </w:trPr>
      <w:tc>
        <w:tcPr>
          <w:tcW w:w="3120" w:type="dxa"/>
        </w:tcPr>
        <w:p w14:paraId="756EA4EB" w14:textId="555474A9" w:rsidR="2B5176B0" w:rsidRDefault="2B5176B0" w:rsidP="2B5176B0">
          <w:pPr>
            <w:pStyle w:val="Header"/>
            <w:ind w:left="-115"/>
          </w:pPr>
        </w:p>
      </w:tc>
      <w:tc>
        <w:tcPr>
          <w:tcW w:w="3120" w:type="dxa"/>
        </w:tcPr>
        <w:p w14:paraId="52E27197" w14:textId="705BCFDD" w:rsidR="2B5176B0" w:rsidRDefault="2B5176B0" w:rsidP="2B5176B0">
          <w:pPr>
            <w:pStyle w:val="Header"/>
            <w:jc w:val="center"/>
          </w:pPr>
        </w:p>
      </w:tc>
      <w:tc>
        <w:tcPr>
          <w:tcW w:w="3120" w:type="dxa"/>
        </w:tcPr>
        <w:p w14:paraId="335A122D" w14:textId="007978CD" w:rsidR="2B5176B0" w:rsidRDefault="2B5176B0" w:rsidP="2B5176B0">
          <w:pPr>
            <w:pStyle w:val="Header"/>
            <w:ind w:right="-115"/>
            <w:jc w:val="right"/>
          </w:pPr>
        </w:p>
      </w:tc>
    </w:tr>
  </w:tbl>
  <w:p w14:paraId="6C45E426" w14:textId="3A87D054" w:rsidR="2B5176B0" w:rsidRDefault="2B5176B0" w:rsidP="2B5176B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0R2NQPw" int2:invalidationBookmarkName="" int2:hashCode="+cl1itLlTbiGZm" int2:id="cSdCLONl">
      <int2:state int2:value="Rejected" int2:type="AugLoop_Text_Critique"/>
    </int2:bookmark>
    <int2:bookmark int2:bookmarkName="_Int_QfaktXT5" int2:invalidationBookmarkName="" int2:hashCode="laG1Y+PNUB+SAH" int2:id="ihvtsbL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71A"/>
    <w:multiLevelType w:val="hybridMultilevel"/>
    <w:tmpl w:val="C570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2550"/>
    <w:multiLevelType w:val="hybridMultilevel"/>
    <w:tmpl w:val="EB34A8D6"/>
    <w:lvl w:ilvl="0" w:tplc="8D42908A">
      <w:start w:val="1"/>
      <w:numFmt w:val="bullet"/>
      <w:lvlText w:val=""/>
      <w:lvlJc w:val="left"/>
      <w:pPr>
        <w:ind w:left="720" w:hanging="360"/>
      </w:pPr>
      <w:rPr>
        <w:rFonts w:ascii="Symbol" w:hAnsi="Symbol" w:hint="default"/>
      </w:rPr>
    </w:lvl>
    <w:lvl w:ilvl="1" w:tplc="A202D896">
      <w:start w:val="1"/>
      <w:numFmt w:val="bullet"/>
      <w:lvlText w:val="o"/>
      <w:lvlJc w:val="left"/>
      <w:pPr>
        <w:ind w:left="1440" w:hanging="360"/>
      </w:pPr>
      <w:rPr>
        <w:rFonts w:ascii="Courier New" w:hAnsi="Courier New" w:hint="default"/>
      </w:rPr>
    </w:lvl>
    <w:lvl w:ilvl="2" w:tplc="6B3A25D8">
      <w:start w:val="1"/>
      <w:numFmt w:val="bullet"/>
      <w:lvlText w:val=""/>
      <w:lvlJc w:val="left"/>
      <w:pPr>
        <w:ind w:left="2160" w:hanging="360"/>
      </w:pPr>
      <w:rPr>
        <w:rFonts w:ascii="Wingdings" w:hAnsi="Wingdings" w:hint="default"/>
      </w:rPr>
    </w:lvl>
    <w:lvl w:ilvl="3" w:tplc="14AC8C1A">
      <w:start w:val="1"/>
      <w:numFmt w:val="bullet"/>
      <w:lvlText w:val=""/>
      <w:lvlJc w:val="left"/>
      <w:pPr>
        <w:ind w:left="2880" w:hanging="360"/>
      </w:pPr>
      <w:rPr>
        <w:rFonts w:ascii="Symbol" w:hAnsi="Symbol" w:hint="default"/>
      </w:rPr>
    </w:lvl>
    <w:lvl w:ilvl="4" w:tplc="66065CAC">
      <w:start w:val="1"/>
      <w:numFmt w:val="bullet"/>
      <w:lvlText w:val="o"/>
      <w:lvlJc w:val="left"/>
      <w:pPr>
        <w:ind w:left="3600" w:hanging="360"/>
      </w:pPr>
      <w:rPr>
        <w:rFonts w:ascii="Courier New" w:hAnsi="Courier New" w:hint="default"/>
      </w:rPr>
    </w:lvl>
    <w:lvl w:ilvl="5" w:tplc="A64C4BCE">
      <w:start w:val="1"/>
      <w:numFmt w:val="bullet"/>
      <w:lvlText w:val=""/>
      <w:lvlJc w:val="left"/>
      <w:pPr>
        <w:ind w:left="4320" w:hanging="360"/>
      </w:pPr>
      <w:rPr>
        <w:rFonts w:ascii="Wingdings" w:hAnsi="Wingdings" w:hint="default"/>
      </w:rPr>
    </w:lvl>
    <w:lvl w:ilvl="6" w:tplc="A8425CB0">
      <w:start w:val="1"/>
      <w:numFmt w:val="bullet"/>
      <w:lvlText w:val=""/>
      <w:lvlJc w:val="left"/>
      <w:pPr>
        <w:ind w:left="5040" w:hanging="360"/>
      </w:pPr>
      <w:rPr>
        <w:rFonts w:ascii="Symbol" w:hAnsi="Symbol" w:hint="default"/>
      </w:rPr>
    </w:lvl>
    <w:lvl w:ilvl="7" w:tplc="3BB8900A">
      <w:start w:val="1"/>
      <w:numFmt w:val="bullet"/>
      <w:lvlText w:val="o"/>
      <w:lvlJc w:val="left"/>
      <w:pPr>
        <w:ind w:left="5760" w:hanging="360"/>
      </w:pPr>
      <w:rPr>
        <w:rFonts w:ascii="Courier New" w:hAnsi="Courier New" w:hint="default"/>
      </w:rPr>
    </w:lvl>
    <w:lvl w:ilvl="8" w:tplc="777AF17E">
      <w:start w:val="1"/>
      <w:numFmt w:val="bullet"/>
      <w:lvlText w:val=""/>
      <w:lvlJc w:val="left"/>
      <w:pPr>
        <w:ind w:left="6480" w:hanging="360"/>
      </w:pPr>
      <w:rPr>
        <w:rFonts w:ascii="Wingdings" w:hAnsi="Wingdings" w:hint="default"/>
      </w:rPr>
    </w:lvl>
  </w:abstractNum>
  <w:abstractNum w:abstractNumId="2" w15:restartNumberingAfterBreak="0">
    <w:nsid w:val="07614FB8"/>
    <w:multiLevelType w:val="hybridMultilevel"/>
    <w:tmpl w:val="3C0E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0D47"/>
    <w:multiLevelType w:val="hybridMultilevel"/>
    <w:tmpl w:val="4434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A86F74"/>
    <w:multiLevelType w:val="hybridMultilevel"/>
    <w:tmpl w:val="1772B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060E1"/>
    <w:multiLevelType w:val="hybridMultilevel"/>
    <w:tmpl w:val="D53A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66123"/>
    <w:multiLevelType w:val="hybridMultilevel"/>
    <w:tmpl w:val="98CE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53FB4"/>
    <w:multiLevelType w:val="hybridMultilevel"/>
    <w:tmpl w:val="5C3E3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E7933"/>
    <w:multiLevelType w:val="hybridMultilevel"/>
    <w:tmpl w:val="872E719C"/>
    <w:lvl w:ilvl="0" w:tplc="F244B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73EF3"/>
    <w:multiLevelType w:val="hybridMultilevel"/>
    <w:tmpl w:val="4836920C"/>
    <w:lvl w:ilvl="0" w:tplc="EB9427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386273"/>
    <w:multiLevelType w:val="hybridMultilevel"/>
    <w:tmpl w:val="4FA4C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DF4ED1"/>
    <w:multiLevelType w:val="hybridMultilevel"/>
    <w:tmpl w:val="B59E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9420F"/>
    <w:multiLevelType w:val="hybridMultilevel"/>
    <w:tmpl w:val="D1DA4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F02781"/>
    <w:multiLevelType w:val="hybridMultilevel"/>
    <w:tmpl w:val="8EC4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E5348"/>
    <w:multiLevelType w:val="hybridMultilevel"/>
    <w:tmpl w:val="B7FA86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C75A84"/>
    <w:multiLevelType w:val="hybridMultilevel"/>
    <w:tmpl w:val="61E87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F04AD"/>
    <w:multiLevelType w:val="hybridMultilevel"/>
    <w:tmpl w:val="3ABC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80092"/>
    <w:multiLevelType w:val="hybridMultilevel"/>
    <w:tmpl w:val="29F8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46460"/>
    <w:multiLevelType w:val="hybridMultilevel"/>
    <w:tmpl w:val="136C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C01FF"/>
    <w:multiLevelType w:val="hybridMultilevel"/>
    <w:tmpl w:val="5EA2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E1847"/>
    <w:multiLevelType w:val="hybridMultilevel"/>
    <w:tmpl w:val="1468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01F3D"/>
    <w:multiLevelType w:val="hybridMultilevel"/>
    <w:tmpl w:val="DD8AA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36F6B"/>
    <w:multiLevelType w:val="hybridMultilevel"/>
    <w:tmpl w:val="51B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C485C"/>
    <w:multiLevelType w:val="hybridMultilevel"/>
    <w:tmpl w:val="1A383504"/>
    <w:lvl w:ilvl="0" w:tplc="21E6D9C6">
      <w:start w:val="202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228BB"/>
    <w:multiLevelType w:val="hybridMultilevel"/>
    <w:tmpl w:val="81FA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7379FF"/>
    <w:multiLevelType w:val="hybridMultilevel"/>
    <w:tmpl w:val="1D0A8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52E0B"/>
    <w:multiLevelType w:val="hybridMultilevel"/>
    <w:tmpl w:val="0D525568"/>
    <w:lvl w:ilvl="0" w:tplc="F244B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2D3B9B"/>
    <w:multiLevelType w:val="hybridMultilevel"/>
    <w:tmpl w:val="C176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6789C"/>
    <w:multiLevelType w:val="hybridMultilevel"/>
    <w:tmpl w:val="56BAA53C"/>
    <w:lvl w:ilvl="0" w:tplc="8B8AC77C">
      <w:start w:val="12"/>
      <w:numFmt w:val="bullet"/>
      <w:lvlText w:val="-"/>
      <w:lvlJc w:val="left"/>
      <w:pPr>
        <w:ind w:left="720" w:hanging="360"/>
      </w:pPr>
      <w:rPr>
        <w:rFonts w:ascii="Californian FB" w:eastAsiaTheme="minorHAnsi" w:hAnsi="Californian FB"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746B6"/>
    <w:multiLevelType w:val="hybridMultilevel"/>
    <w:tmpl w:val="EA40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E3BCE"/>
    <w:multiLevelType w:val="hybridMultilevel"/>
    <w:tmpl w:val="0002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A07FD7"/>
    <w:multiLevelType w:val="hybridMultilevel"/>
    <w:tmpl w:val="C7EE95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0E78DB"/>
    <w:multiLevelType w:val="hybridMultilevel"/>
    <w:tmpl w:val="90AE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A0633"/>
    <w:multiLevelType w:val="hybridMultilevel"/>
    <w:tmpl w:val="E40A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245369"/>
    <w:multiLevelType w:val="hybridMultilevel"/>
    <w:tmpl w:val="634CE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E41D9"/>
    <w:multiLevelType w:val="hybridMultilevel"/>
    <w:tmpl w:val="AE928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82F48"/>
    <w:multiLevelType w:val="hybridMultilevel"/>
    <w:tmpl w:val="2CF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1679D"/>
    <w:multiLevelType w:val="hybridMultilevel"/>
    <w:tmpl w:val="B400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34584925">
    <w:abstractNumId w:val="1"/>
  </w:num>
  <w:num w:numId="2" w16cid:durableId="1581015974">
    <w:abstractNumId w:val="24"/>
  </w:num>
  <w:num w:numId="3" w16cid:durableId="1294600881">
    <w:abstractNumId w:val="11"/>
  </w:num>
  <w:num w:numId="4" w16cid:durableId="1456946674">
    <w:abstractNumId w:val="3"/>
  </w:num>
  <w:num w:numId="5" w16cid:durableId="2017030895">
    <w:abstractNumId w:val="21"/>
  </w:num>
  <w:num w:numId="6" w16cid:durableId="445733641">
    <w:abstractNumId w:val="4"/>
  </w:num>
  <w:num w:numId="7" w16cid:durableId="1938975292">
    <w:abstractNumId w:val="26"/>
  </w:num>
  <w:num w:numId="8" w16cid:durableId="337344272">
    <w:abstractNumId w:val="32"/>
  </w:num>
  <w:num w:numId="9" w16cid:durableId="777023591">
    <w:abstractNumId w:val="10"/>
  </w:num>
  <w:num w:numId="10" w16cid:durableId="1013721607">
    <w:abstractNumId w:val="8"/>
  </w:num>
  <w:num w:numId="11" w16cid:durableId="1905263058">
    <w:abstractNumId w:val="19"/>
  </w:num>
  <w:num w:numId="12" w16cid:durableId="1944265147">
    <w:abstractNumId w:val="13"/>
  </w:num>
  <w:num w:numId="13" w16cid:durableId="1813061088">
    <w:abstractNumId w:val="25"/>
  </w:num>
  <w:num w:numId="14" w16cid:durableId="1499691937">
    <w:abstractNumId w:val="30"/>
  </w:num>
  <w:num w:numId="15" w16cid:durableId="1892032518">
    <w:abstractNumId w:val="17"/>
  </w:num>
  <w:num w:numId="16" w16cid:durableId="1062294685">
    <w:abstractNumId w:val="27"/>
  </w:num>
  <w:num w:numId="17" w16cid:durableId="980233430">
    <w:abstractNumId w:val="20"/>
  </w:num>
  <w:num w:numId="18" w16cid:durableId="1348868819">
    <w:abstractNumId w:val="14"/>
  </w:num>
  <w:num w:numId="19" w16cid:durableId="1621377792">
    <w:abstractNumId w:val="32"/>
  </w:num>
  <w:num w:numId="20" w16cid:durableId="97719033">
    <w:abstractNumId w:val="0"/>
  </w:num>
  <w:num w:numId="21" w16cid:durableId="1392004338">
    <w:abstractNumId w:val="18"/>
  </w:num>
  <w:num w:numId="22" w16cid:durableId="1039234122">
    <w:abstractNumId w:val="5"/>
  </w:num>
  <w:num w:numId="23" w16cid:durableId="813643409">
    <w:abstractNumId w:val="16"/>
  </w:num>
  <w:num w:numId="24" w16cid:durableId="1632327035">
    <w:abstractNumId w:val="2"/>
  </w:num>
  <w:num w:numId="25" w16cid:durableId="735083933">
    <w:abstractNumId w:val="7"/>
  </w:num>
  <w:num w:numId="26" w16cid:durableId="1807165891">
    <w:abstractNumId w:val="29"/>
  </w:num>
  <w:num w:numId="27" w16cid:durableId="718239624">
    <w:abstractNumId w:val="22"/>
  </w:num>
  <w:num w:numId="28" w16cid:durableId="1535844144">
    <w:abstractNumId w:val="34"/>
  </w:num>
  <w:num w:numId="29" w16cid:durableId="131682218">
    <w:abstractNumId w:val="35"/>
  </w:num>
  <w:num w:numId="30" w16cid:durableId="2097439867">
    <w:abstractNumId w:val="36"/>
  </w:num>
  <w:num w:numId="31" w16cid:durableId="1842817565">
    <w:abstractNumId w:val="9"/>
  </w:num>
  <w:num w:numId="32" w16cid:durableId="393359476">
    <w:abstractNumId w:val="6"/>
  </w:num>
  <w:num w:numId="33" w16cid:durableId="1876847009">
    <w:abstractNumId w:val="23"/>
  </w:num>
  <w:num w:numId="34" w16cid:durableId="198515189">
    <w:abstractNumId w:val="37"/>
  </w:num>
  <w:num w:numId="35" w16cid:durableId="231821196">
    <w:abstractNumId w:val="33"/>
  </w:num>
  <w:num w:numId="36" w16cid:durableId="1743603240">
    <w:abstractNumId w:val="12"/>
  </w:num>
  <w:num w:numId="37" w16cid:durableId="1601521926">
    <w:abstractNumId w:val="15"/>
  </w:num>
  <w:num w:numId="38" w16cid:durableId="2146461057">
    <w:abstractNumId w:val="28"/>
  </w:num>
  <w:num w:numId="39" w16cid:durableId="8469474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C2"/>
    <w:rsid w:val="0000632A"/>
    <w:rsid w:val="000178A1"/>
    <w:rsid w:val="00023337"/>
    <w:rsid w:val="00023BCF"/>
    <w:rsid w:val="00033757"/>
    <w:rsid w:val="00034565"/>
    <w:rsid w:val="00042CDA"/>
    <w:rsid w:val="000454DE"/>
    <w:rsid w:val="00053935"/>
    <w:rsid w:val="00055104"/>
    <w:rsid w:val="000645A0"/>
    <w:rsid w:val="0007275F"/>
    <w:rsid w:val="00074E46"/>
    <w:rsid w:val="00077136"/>
    <w:rsid w:val="00086659"/>
    <w:rsid w:val="00097A9E"/>
    <w:rsid w:val="000D1435"/>
    <w:rsid w:val="000E12C2"/>
    <w:rsid w:val="000E36BD"/>
    <w:rsid w:val="000E7E90"/>
    <w:rsid w:val="000F6A16"/>
    <w:rsid w:val="000F6ADC"/>
    <w:rsid w:val="000F7BF8"/>
    <w:rsid w:val="00104C44"/>
    <w:rsid w:val="00105383"/>
    <w:rsid w:val="00107B24"/>
    <w:rsid w:val="00115983"/>
    <w:rsid w:val="00132565"/>
    <w:rsid w:val="00133B2F"/>
    <w:rsid w:val="00151098"/>
    <w:rsid w:val="0015655D"/>
    <w:rsid w:val="0015661B"/>
    <w:rsid w:val="001604F8"/>
    <w:rsid w:val="001649E1"/>
    <w:rsid w:val="00177D0F"/>
    <w:rsid w:val="001905CC"/>
    <w:rsid w:val="00195E52"/>
    <w:rsid w:val="00197995"/>
    <w:rsid w:val="001D1439"/>
    <w:rsid w:val="001E256B"/>
    <w:rsid w:val="001E319E"/>
    <w:rsid w:val="001E663D"/>
    <w:rsid w:val="001F2BE3"/>
    <w:rsid w:val="001F54AC"/>
    <w:rsid w:val="00204265"/>
    <w:rsid w:val="00205AD4"/>
    <w:rsid w:val="002072B6"/>
    <w:rsid w:val="00226195"/>
    <w:rsid w:val="002309E7"/>
    <w:rsid w:val="00245E16"/>
    <w:rsid w:val="00256C56"/>
    <w:rsid w:val="00263FBA"/>
    <w:rsid w:val="00266BE4"/>
    <w:rsid w:val="002859B4"/>
    <w:rsid w:val="002A5023"/>
    <w:rsid w:val="002C7C47"/>
    <w:rsid w:val="002E7952"/>
    <w:rsid w:val="002F0647"/>
    <w:rsid w:val="002F0771"/>
    <w:rsid w:val="00316356"/>
    <w:rsid w:val="00345D9B"/>
    <w:rsid w:val="0034747B"/>
    <w:rsid w:val="003508F4"/>
    <w:rsid w:val="00352CE1"/>
    <w:rsid w:val="00353F02"/>
    <w:rsid w:val="00357E53"/>
    <w:rsid w:val="00361E43"/>
    <w:rsid w:val="00366192"/>
    <w:rsid w:val="0037222A"/>
    <w:rsid w:val="003975C2"/>
    <w:rsid w:val="003A3921"/>
    <w:rsid w:val="003A46AC"/>
    <w:rsid w:val="003A7E83"/>
    <w:rsid w:val="003B728C"/>
    <w:rsid w:val="003C0D99"/>
    <w:rsid w:val="003C7CC2"/>
    <w:rsid w:val="003D689D"/>
    <w:rsid w:val="003D72C4"/>
    <w:rsid w:val="003F3AA7"/>
    <w:rsid w:val="003F4C41"/>
    <w:rsid w:val="003F6730"/>
    <w:rsid w:val="00404915"/>
    <w:rsid w:val="00411DFC"/>
    <w:rsid w:val="00412862"/>
    <w:rsid w:val="00414E46"/>
    <w:rsid w:val="00416204"/>
    <w:rsid w:val="004216DA"/>
    <w:rsid w:val="00424BBB"/>
    <w:rsid w:val="004262D3"/>
    <w:rsid w:val="00426BB6"/>
    <w:rsid w:val="00433C22"/>
    <w:rsid w:val="004403BA"/>
    <w:rsid w:val="00446707"/>
    <w:rsid w:val="0045221B"/>
    <w:rsid w:val="00456214"/>
    <w:rsid w:val="00460A82"/>
    <w:rsid w:val="0046719F"/>
    <w:rsid w:val="0047599C"/>
    <w:rsid w:val="00477862"/>
    <w:rsid w:val="004A153B"/>
    <w:rsid w:val="004A3D4B"/>
    <w:rsid w:val="004C2F22"/>
    <w:rsid w:val="004C39C1"/>
    <w:rsid w:val="004D46CD"/>
    <w:rsid w:val="004E00AD"/>
    <w:rsid w:val="004E2FA9"/>
    <w:rsid w:val="004E7777"/>
    <w:rsid w:val="0050197A"/>
    <w:rsid w:val="00502A0B"/>
    <w:rsid w:val="0052032A"/>
    <w:rsid w:val="005318AC"/>
    <w:rsid w:val="00536426"/>
    <w:rsid w:val="00545557"/>
    <w:rsid w:val="0055879D"/>
    <w:rsid w:val="00580416"/>
    <w:rsid w:val="00580826"/>
    <w:rsid w:val="00586A37"/>
    <w:rsid w:val="00587289"/>
    <w:rsid w:val="005933A2"/>
    <w:rsid w:val="005A49E8"/>
    <w:rsid w:val="005B50A0"/>
    <w:rsid w:val="005C7599"/>
    <w:rsid w:val="005D21C8"/>
    <w:rsid w:val="005D3371"/>
    <w:rsid w:val="005E0576"/>
    <w:rsid w:val="005F355E"/>
    <w:rsid w:val="005F60C4"/>
    <w:rsid w:val="00605C1A"/>
    <w:rsid w:val="00621010"/>
    <w:rsid w:val="00621144"/>
    <w:rsid w:val="00623C84"/>
    <w:rsid w:val="00634845"/>
    <w:rsid w:val="00636EF1"/>
    <w:rsid w:val="00642719"/>
    <w:rsid w:val="006610F2"/>
    <w:rsid w:val="00662218"/>
    <w:rsid w:val="006666A5"/>
    <w:rsid w:val="006724E9"/>
    <w:rsid w:val="00675C7F"/>
    <w:rsid w:val="00676DC4"/>
    <w:rsid w:val="00685317"/>
    <w:rsid w:val="00691A93"/>
    <w:rsid w:val="00694B06"/>
    <w:rsid w:val="006A13FE"/>
    <w:rsid w:val="006A2E66"/>
    <w:rsid w:val="006A3E7F"/>
    <w:rsid w:val="006B0AA4"/>
    <w:rsid w:val="006B2B0F"/>
    <w:rsid w:val="006B6471"/>
    <w:rsid w:val="006C0F28"/>
    <w:rsid w:val="006D003F"/>
    <w:rsid w:val="006D04F0"/>
    <w:rsid w:val="006D68F5"/>
    <w:rsid w:val="006D7EF2"/>
    <w:rsid w:val="006E2018"/>
    <w:rsid w:val="006E550B"/>
    <w:rsid w:val="006E7656"/>
    <w:rsid w:val="00701AA2"/>
    <w:rsid w:val="0072062D"/>
    <w:rsid w:val="007217A3"/>
    <w:rsid w:val="00730EB8"/>
    <w:rsid w:val="0073243A"/>
    <w:rsid w:val="00740B2C"/>
    <w:rsid w:val="00740DA4"/>
    <w:rsid w:val="00746069"/>
    <w:rsid w:val="0076445E"/>
    <w:rsid w:val="00765022"/>
    <w:rsid w:val="00770B07"/>
    <w:rsid w:val="00773D57"/>
    <w:rsid w:val="007810E0"/>
    <w:rsid w:val="007900D4"/>
    <w:rsid w:val="00791C76"/>
    <w:rsid w:val="00792628"/>
    <w:rsid w:val="007940B7"/>
    <w:rsid w:val="0079481E"/>
    <w:rsid w:val="007B1D75"/>
    <w:rsid w:val="007C2593"/>
    <w:rsid w:val="007C79E6"/>
    <w:rsid w:val="007D5836"/>
    <w:rsid w:val="007F045C"/>
    <w:rsid w:val="007F32B8"/>
    <w:rsid w:val="0081476F"/>
    <w:rsid w:val="00815B20"/>
    <w:rsid w:val="0081622D"/>
    <w:rsid w:val="00826280"/>
    <w:rsid w:val="00832218"/>
    <w:rsid w:val="00842326"/>
    <w:rsid w:val="008619A0"/>
    <w:rsid w:val="008666D6"/>
    <w:rsid w:val="00870C8A"/>
    <w:rsid w:val="00873F99"/>
    <w:rsid w:val="00875B20"/>
    <w:rsid w:val="00893E2B"/>
    <w:rsid w:val="008A136D"/>
    <w:rsid w:val="008B6C52"/>
    <w:rsid w:val="008C3357"/>
    <w:rsid w:val="008D40D9"/>
    <w:rsid w:val="008E5A7C"/>
    <w:rsid w:val="008E62CB"/>
    <w:rsid w:val="008E6A15"/>
    <w:rsid w:val="008F2F60"/>
    <w:rsid w:val="008F6389"/>
    <w:rsid w:val="00910B37"/>
    <w:rsid w:val="0091294B"/>
    <w:rsid w:val="0091476A"/>
    <w:rsid w:val="00921AE3"/>
    <w:rsid w:val="00930AB6"/>
    <w:rsid w:val="00941DA8"/>
    <w:rsid w:val="009639C3"/>
    <w:rsid w:val="0096455E"/>
    <w:rsid w:val="009764A5"/>
    <w:rsid w:val="00997F48"/>
    <w:rsid w:val="009A0F78"/>
    <w:rsid w:val="009A4273"/>
    <w:rsid w:val="009B2EA6"/>
    <w:rsid w:val="009D3AE4"/>
    <w:rsid w:val="009D4367"/>
    <w:rsid w:val="009D67AD"/>
    <w:rsid w:val="009E40D2"/>
    <w:rsid w:val="00A0238A"/>
    <w:rsid w:val="00A043AD"/>
    <w:rsid w:val="00A07CA8"/>
    <w:rsid w:val="00A30432"/>
    <w:rsid w:val="00A305A7"/>
    <w:rsid w:val="00A55510"/>
    <w:rsid w:val="00A61FE2"/>
    <w:rsid w:val="00A714D8"/>
    <w:rsid w:val="00A808DE"/>
    <w:rsid w:val="00A840E4"/>
    <w:rsid w:val="00A908FA"/>
    <w:rsid w:val="00A95A67"/>
    <w:rsid w:val="00A97675"/>
    <w:rsid w:val="00AA0CD4"/>
    <w:rsid w:val="00AA4F9B"/>
    <w:rsid w:val="00AB25B7"/>
    <w:rsid w:val="00AB28A1"/>
    <w:rsid w:val="00AC0778"/>
    <w:rsid w:val="00AC28F7"/>
    <w:rsid w:val="00AD4088"/>
    <w:rsid w:val="00AE5F05"/>
    <w:rsid w:val="00AF0870"/>
    <w:rsid w:val="00AF613F"/>
    <w:rsid w:val="00AF7FDB"/>
    <w:rsid w:val="00B01B5F"/>
    <w:rsid w:val="00B1698D"/>
    <w:rsid w:val="00B277C1"/>
    <w:rsid w:val="00B30B6C"/>
    <w:rsid w:val="00B316DB"/>
    <w:rsid w:val="00B4002F"/>
    <w:rsid w:val="00B45E1B"/>
    <w:rsid w:val="00B46955"/>
    <w:rsid w:val="00B514AD"/>
    <w:rsid w:val="00B56279"/>
    <w:rsid w:val="00B61944"/>
    <w:rsid w:val="00B778EC"/>
    <w:rsid w:val="00B81AA4"/>
    <w:rsid w:val="00B82C2A"/>
    <w:rsid w:val="00B861F6"/>
    <w:rsid w:val="00B91904"/>
    <w:rsid w:val="00BB5B26"/>
    <w:rsid w:val="00BC07D0"/>
    <w:rsid w:val="00BC30D5"/>
    <w:rsid w:val="00BE0727"/>
    <w:rsid w:val="00BE5C0D"/>
    <w:rsid w:val="00BF39E9"/>
    <w:rsid w:val="00BF4E12"/>
    <w:rsid w:val="00BF59D6"/>
    <w:rsid w:val="00BF6E00"/>
    <w:rsid w:val="00C012E7"/>
    <w:rsid w:val="00C1065C"/>
    <w:rsid w:val="00C11249"/>
    <w:rsid w:val="00C32004"/>
    <w:rsid w:val="00C36E49"/>
    <w:rsid w:val="00C44E65"/>
    <w:rsid w:val="00C47D16"/>
    <w:rsid w:val="00C54900"/>
    <w:rsid w:val="00C56D2D"/>
    <w:rsid w:val="00C57B0C"/>
    <w:rsid w:val="00C636CA"/>
    <w:rsid w:val="00C71341"/>
    <w:rsid w:val="00C8000C"/>
    <w:rsid w:val="00C82DCC"/>
    <w:rsid w:val="00CA5686"/>
    <w:rsid w:val="00CB5CBD"/>
    <w:rsid w:val="00CC0350"/>
    <w:rsid w:val="00CC2A47"/>
    <w:rsid w:val="00CC7709"/>
    <w:rsid w:val="00CC7D59"/>
    <w:rsid w:val="00CD5C9F"/>
    <w:rsid w:val="00CE080D"/>
    <w:rsid w:val="00CF349F"/>
    <w:rsid w:val="00CF5C6C"/>
    <w:rsid w:val="00CF70FB"/>
    <w:rsid w:val="00D24514"/>
    <w:rsid w:val="00D261AB"/>
    <w:rsid w:val="00D261DC"/>
    <w:rsid w:val="00D30084"/>
    <w:rsid w:val="00D30294"/>
    <w:rsid w:val="00D4202B"/>
    <w:rsid w:val="00D43563"/>
    <w:rsid w:val="00D43E7E"/>
    <w:rsid w:val="00D441F9"/>
    <w:rsid w:val="00D4BC74"/>
    <w:rsid w:val="00D56C87"/>
    <w:rsid w:val="00D83EBF"/>
    <w:rsid w:val="00D847C6"/>
    <w:rsid w:val="00D8566C"/>
    <w:rsid w:val="00D87D74"/>
    <w:rsid w:val="00D947F9"/>
    <w:rsid w:val="00D9695D"/>
    <w:rsid w:val="00D96F63"/>
    <w:rsid w:val="00DA79A9"/>
    <w:rsid w:val="00DB4622"/>
    <w:rsid w:val="00DD4303"/>
    <w:rsid w:val="00DD6229"/>
    <w:rsid w:val="00DD6A56"/>
    <w:rsid w:val="00DD6ED2"/>
    <w:rsid w:val="00DE3ACA"/>
    <w:rsid w:val="00DE3C58"/>
    <w:rsid w:val="00DF1843"/>
    <w:rsid w:val="00DF3494"/>
    <w:rsid w:val="00E02B40"/>
    <w:rsid w:val="00E04E5B"/>
    <w:rsid w:val="00E05C41"/>
    <w:rsid w:val="00E11401"/>
    <w:rsid w:val="00E14DF0"/>
    <w:rsid w:val="00E239F0"/>
    <w:rsid w:val="00E254E1"/>
    <w:rsid w:val="00E35FB0"/>
    <w:rsid w:val="00E41CDF"/>
    <w:rsid w:val="00E449C6"/>
    <w:rsid w:val="00E47A2D"/>
    <w:rsid w:val="00E47F47"/>
    <w:rsid w:val="00E54CD2"/>
    <w:rsid w:val="00E5615B"/>
    <w:rsid w:val="00E62D1E"/>
    <w:rsid w:val="00E81A3F"/>
    <w:rsid w:val="00E82DCF"/>
    <w:rsid w:val="00E8475C"/>
    <w:rsid w:val="00E958B0"/>
    <w:rsid w:val="00EB3516"/>
    <w:rsid w:val="00EB6DAD"/>
    <w:rsid w:val="00EC17BC"/>
    <w:rsid w:val="00EC3269"/>
    <w:rsid w:val="00ED1378"/>
    <w:rsid w:val="00ED505E"/>
    <w:rsid w:val="00EE5770"/>
    <w:rsid w:val="00F00F5B"/>
    <w:rsid w:val="00F059A3"/>
    <w:rsid w:val="00F13B73"/>
    <w:rsid w:val="00F171DA"/>
    <w:rsid w:val="00F2735F"/>
    <w:rsid w:val="00F30ECB"/>
    <w:rsid w:val="00F43092"/>
    <w:rsid w:val="00F4313D"/>
    <w:rsid w:val="00F47A7B"/>
    <w:rsid w:val="00F55A8A"/>
    <w:rsid w:val="00F642DA"/>
    <w:rsid w:val="00F7167A"/>
    <w:rsid w:val="00F72C43"/>
    <w:rsid w:val="00F75C30"/>
    <w:rsid w:val="00F80D93"/>
    <w:rsid w:val="00F91AAD"/>
    <w:rsid w:val="00F91EDA"/>
    <w:rsid w:val="00FA10C5"/>
    <w:rsid w:val="00FA7DBC"/>
    <w:rsid w:val="00FA7F4D"/>
    <w:rsid w:val="00FC1C29"/>
    <w:rsid w:val="00FD60EE"/>
    <w:rsid w:val="00FEBB15"/>
    <w:rsid w:val="00FF325C"/>
    <w:rsid w:val="00FF371F"/>
    <w:rsid w:val="00FF3A34"/>
    <w:rsid w:val="00FF6A99"/>
    <w:rsid w:val="0258F120"/>
    <w:rsid w:val="04DB44E8"/>
    <w:rsid w:val="05370CBD"/>
    <w:rsid w:val="05A9F001"/>
    <w:rsid w:val="05FF0B31"/>
    <w:rsid w:val="06041AF1"/>
    <w:rsid w:val="07142AD7"/>
    <w:rsid w:val="071D4CA2"/>
    <w:rsid w:val="07216F5D"/>
    <w:rsid w:val="088A3E74"/>
    <w:rsid w:val="0A3BB6EC"/>
    <w:rsid w:val="0AE55236"/>
    <w:rsid w:val="0BC5C1F6"/>
    <w:rsid w:val="0CD87BF2"/>
    <w:rsid w:val="0D7967A1"/>
    <w:rsid w:val="0E01E238"/>
    <w:rsid w:val="0E22A87E"/>
    <w:rsid w:val="0ED33255"/>
    <w:rsid w:val="100D31BC"/>
    <w:rsid w:val="1119F6AF"/>
    <w:rsid w:val="117F98C5"/>
    <w:rsid w:val="11AE8992"/>
    <w:rsid w:val="11B87700"/>
    <w:rsid w:val="12A9B7C4"/>
    <w:rsid w:val="12C95C47"/>
    <w:rsid w:val="12CA9F94"/>
    <w:rsid w:val="134DAAAE"/>
    <w:rsid w:val="14B04BA3"/>
    <w:rsid w:val="17694D91"/>
    <w:rsid w:val="18BF58A8"/>
    <w:rsid w:val="198ABB2D"/>
    <w:rsid w:val="1992CC5A"/>
    <w:rsid w:val="1A3251CD"/>
    <w:rsid w:val="1A3F3F4B"/>
    <w:rsid w:val="1A50871F"/>
    <w:rsid w:val="1A8C3AB1"/>
    <w:rsid w:val="1A8CF5D3"/>
    <w:rsid w:val="1B0224B9"/>
    <w:rsid w:val="1BA18AAF"/>
    <w:rsid w:val="1BA2AFF4"/>
    <w:rsid w:val="1BAEAED8"/>
    <w:rsid w:val="1CC7E254"/>
    <w:rsid w:val="1D3F8F9C"/>
    <w:rsid w:val="1D9F4873"/>
    <w:rsid w:val="1DE6994A"/>
    <w:rsid w:val="1DECEB77"/>
    <w:rsid w:val="1E22384D"/>
    <w:rsid w:val="1E69B3FE"/>
    <w:rsid w:val="1E8AB4C2"/>
    <w:rsid w:val="1F464169"/>
    <w:rsid w:val="1F5CFF09"/>
    <w:rsid w:val="201C8F43"/>
    <w:rsid w:val="20330B8F"/>
    <w:rsid w:val="2038B050"/>
    <w:rsid w:val="20410F66"/>
    <w:rsid w:val="20AF024E"/>
    <w:rsid w:val="212CD78F"/>
    <w:rsid w:val="2132E860"/>
    <w:rsid w:val="213C8BDB"/>
    <w:rsid w:val="2169E095"/>
    <w:rsid w:val="21CEA283"/>
    <w:rsid w:val="2203F479"/>
    <w:rsid w:val="224DA55D"/>
    <w:rsid w:val="22661D18"/>
    <w:rsid w:val="22A87D1C"/>
    <w:rsid w:val="22A9BAA6"/>
    <w:rsid w:val="22E9A28B"/>
    <w:rsid w:val="2313684C"/>
    <w:rsid w:val="23A3BD13"/>
    <w:rsid w:val="2429653D"/>
    <w:rsid w:val="24F357E4"/>
    <w:rsid w:val="263F161C"/>
    <w:rsid w:val="28C35907"/>
    <w:rsid w:val="29C3138E"/>
    <w:rsid w:val="2A099A10"/>
    <w:rsid w:val="2B5176B0"/>
    <w:rsid w:val="2B8B89F9"/>
    <w:rsid w:val="2C175AB2"/>
    <w:rsid w:val="2DBE21DA"/>
    <w:rsid w:val="2E2E116A"/>
    <w:rsid w:val="2E49EF8A"/>
    <w:rsid w:val="2E650093"/>
    <w:rsid w:val="2F1AEA55"/>
    <w:rsid w:val="308BA0A2"/>
    <w:rsid w:val="30919BA9"/>
    <w:rsid w:val="3091DEA4"/>
    <w:rsid w:val="34823B29"/>
    <w:rsid w:val="3485E035"/>
    <w:rsid w:val="34FD94B3"/>
    <w:rsid w:val="358C5A34"/>
    <w:rsid w:val="360D1F10"/>
    <w:rsid w:val="36D90AFE"/>
    <w:rsid w:val="3924D62B"/>
    <w:rsid w:val="39B13344"/>
    <w:rsid w:val="3A13155F"/>
    <w:rsid w:val="3ACE18D0"/>
    <w:rsid w:val="3B2F3234"/>
    <w:rsid w:val="3B407E00"/>
    <w:rsid w:val="3DC260F0"/>
    <w:rsid w:val="3DC2EB58"/>
    <w:rsid w:val="3DC6AE2D"/>
    <w:rsid w:val="3DE4763A"/>
    <w:rsid w:val="3E586D5D"/>
    <w:rsid w:val="3EBABB82"/>
    <w:rsid w:val="3FC73EF9"/>
    <w:rsid w:val="4012EBE3"/>
    <w:rsid w:val="40321325"/>
    <w:rsid w:val="40C9044B"/>
    <w:rsid w:val="418748E7"/>
    <w:rsid w:val="4248BAAD"/>
    <w:rsid w:val="424EA3BD"/>
    <w:rsid w:val="42704B87"/>
    <w:rsid w:val="42B55D43"/>
    <w:rsid w:val="437A9EF9"/>
    <w:rsid w:val="4399B7CA"/>
    <w:rsid w:val="43CA33D2"/>
    <w:rsid w:val="43FBE1CB"/>
    <w:rsid w:val="44A2288F"/>
    <w:rsid w:val="4513CD27"/>
    <w:rsid w:val="456059A8"/>
    <w:rsid w:val="460671DB"/>
    <w:rsid w:val="4683ABB5"/>
    <w:rsid w:val="46BDF25D"/>
    <w:rsid w:val="46F35B55"/>
    <w:rsid w:val="47702151"/>
    <w:rsid w:val="477F4596"/>
    <w:rsid w:val="47ADEB65"/>
    <w:rsid w:val="480C2633"/>
    <w:rsid w:val="4856F2FB"/>
    <w:rsid w:val="48B7792F"/>
    <w:rsid w:val="493953AA"/>
    <w:rsid w:val="4B5ECDAC"/>
    <w:rsid w:val="4B8F07B7"/>
    <w:rsid w:val="4C9A90B9"/>
    <w:rsid w:val="4D77DEED"/>
    <w:rsid w:val="4E0F7A0B"/>
    <w:rsid w:val="4E338A00"/>
    <w:rsid w:val="4F977EE9"/>
    <w:rsid w:val="4FBEF508"/>
    <w:rsid w:val="5212D10F"/>
    <w:rsid w:val="5295F5F7"/>
    <w:rsid w:val="5326F496"/>
    <w:rsid w:val="53C0E8D5"/>
    <w:rsid w:val="546DCFF5"/>
    <w:rsid w:val="55D3D97F"/>
    <w:rsid w:val="56053906"/>
    <w:rsid w:val="5624C396"/>
    <w:rsid w:val="56281681"/>
    <w:rsid w:val="56CF28EC"/>
    <w:rsid w:val="56F87C8E"/>
    <w:rsid w:val="5726ACFF"/>
    <w:rsid w:val="57A1CCC3"/>
    <w:rsid w:val="58170A92"/>
    <w:rsid w:val="583ECC4E"/>
    <w:rsid w:val="586774EA"/>
    <w:rsid w:val="59852EF4"/>
    <w:rsid w:val="59B4E5CE"/>
    <w:rsid w:val="59F070AE"/>
    <w:rsid w:val="5AD8F4E8"/>
    <w:rsid w:val="5B198235"/>
    <w:rsid w:val="5B52AC58"/>
    <w:rsid w:val="5B5B09C5"/>
    <w:rsid w:val="5B5F1760"/>
    <w:rsid w:val="5B9F13D8"/>
    <w:rsid w:val="5BBA00DF"/>
    <w:rsid w:val="5C5380BA"/>
    <w:rsid w:val="5C822CDF"/>
    <w:rsid w:val="5CAC2F6F"/>
    <w:rsid w:val="5D9AEA58"/>
    <w:rsid w:val="5E245345"/>
    <w:rsid w:val="5E7E1F6D"/>
    <w:rsid w:val="5FAA1A77"/>
    <w:rsid w:val="5FCE2589"/>
    <w:rsid w:val="60491916"/>
    <w:rsid w:val="60796A3A"/>
    <w:rsid w:val="60CE7CA8"/>
    <w:rsid w:val="60DD7C46"/>
    <w:rsid w:val="6167C6B2"/>
    <w:rsid w:val="623C971D"/>
    <w:rsid w:val="633A73F9"/>
    <w:rsid w:val="63B6B399"/>
    <w:rsid w:val="64209C07"/>
    <w:rsid w:val="643BE19E"/>
    <w:rsid w:val="64DE62B5"/>
    <w:rsid w:val="64F2236B"/>
    <w:rsid w:val="65F13679"/>
    <w:rsid w:val="661AA94D"/>
    <w:rsid w:val="666803C2"/>
    <w:rsid w:val="67CF0431"/>
    <w:rsid w:val="67F9960B"/>
    <w:rsid w:val="6850373A"/>
    <w:rsid w:val="68F2C8CE"/>
    <w:rsid w:val="691CD43A"/>
    <w:rsid w:val="697E7BE0"/>
    <w:rsid w:val="6AE10499"/>
    <w:rsid w:val="6AE70B07"/>
    <w:rsid w:val="6B08AFA7"/>
    <w:rsid w:val="6BD007F4"/>
    <w:rsid w:val="6BDF9E4A"/>
    <w:rsid w:val="6CC4D964"/>
    <w:rsid w:val="6CCA9B81"/>
    <w:rsid w:val="6D10CEAC"/>
    <w:rsid w:val="6D61DF38"/>
    <w:rsid w:val="6E072454"/>
    <w:rsid w:val="6ED7AF73"/>
    <w:rsid w:val="70146C39"/>
    <w:rsid w:val="707DFBE7"/>
    <w:rsid w:val="707E2B75"/>
    <w:rsid w:val="71069E7E"/>
    <w:rsid w:val="713D5EEE"/>
    <w:rsid w:val="717AD5A0"/>
    <w:rsid w:val="7273BB30"/>
    <w:rsid w:val="731719EC"/>
    <w:rsid w:val="739042D1"/>
    <w:rsid w:val="73AE2C82"/>
    <w:rsid w:val="75628AEF"/>
    <w:rsid w:val="75EE22D9"/>
    <w:rsid w:val="76ABBE09"/>
    <w:rsid w:val="76EB79B5"/>
    <w:rsid w:val="76F10572"/>
    <w:rsid w:val="771BD681"/>
    <w:rsid w:val="77EA3015"/>
    <w:rsid w:val="77F7A6C6"/>
    <w:rsid w:val="7840CDB7"/>
    <w:rsid w:val="785BA8A4"/>
    <w:rsid w:val="78A15220"/>
    <w:rsid w:val="795AE4FD"/>
    <w:rsid w:val="79A79599"/>
    <w:rsid w:val="7A0BD26E"/>
    <w:rsid w:val="7A5816CB"/>
    <w:rsid w:val="7A6EA1FE"/>
    <w:rsid w:val="7A979F35"/>
    <w:rsid w:val="7AEB9383"/>
    <w:rsid w:val="7B11C50E"/>
    <w:rsid w:val="7B70B74B"/>
    <w:rsid w:val="7B853CD0"/>
    <w:rsid w:val="7BE0CD35"/>
    <w:rsid w:val="7CB54AFB"/>
    <w:rsid w:val="7D00A180"/>
    <w:rsid w:val="7D3DA013"/>
    <w:rsid w:val="7D423E69"/>
    <w:rsid w:val="7DDB02A4"/>
    <w:rsid w:val="7DE9C7E9"/>
    <w:rsid w:val="7ED88E8D"/>
    <w:rsid w:val="7F3A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138D"/>
  <w15:chartTrackingRefBased/>
  <w15:docId w15:val="{60037939-BE8D-4976-A8FE-C6D7EB1C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C52"/>
  </w:style>
  <w:style w:type="paragraph" w:styleId="Heading1">
    <w:name w:val="heading 1"/>
    <w:basedOn w:val="Normal"/>
    <w:next w:val="Normal"/>
    <w:link w:val="Heading1Char"/>
    <w:uiPriority w:val="9"/>
    <w:qFormat/>
    <w:rsid w:val="006D04F0"/>
    <w:pPr>
      <w:keepNext/>
      <w:keepLines/>
      <w:spacing w:before="240" w:after="0"/>
      <w:outlineLvl w:val="0"/>
    </w:pPr>
    <w:rPr>
      <w:rFonts w:ascii="Calibri" w:eastAsiaTheme="majorEastAsia" w:hAnsi="Calibri" w:cstheme="majorBidi"/>
      <w:b/>
      <w:sz w:val="26"/>
      <w:szCs w:val="32"/>
    </w:rPr>
  </w:style>
  <w:style w:type="paragraph" w:styleId="Heading2">
    <w:name w:val="heading 2"/>
    <w:basedOn w:val="NoSpacing"/>
    <w:next w:val="Normal"/>
    <w:link w:val="Heading2Char"/>
    <w:autoRedefine/>
    <w:uiPriority w:val="9"/>
    <w:unhideWhenUsed/>
    <w:qFormat/>
    <w:rsid w:val="00FF3A34"/>
    <w:pPr>
      <w:outlineLvl w:val="1"/>
    </w:pPr>
    <w:rPr>
      <w:rFonts w:ascii="Times New Roman" w:hAnsi="Times New Roman" w:cs="Times New Roman"/>
      <w:b/>
    </w:rPr>
  </w:style>
  <w:style w:type="paragraph" w:styleId="Heading3">
    <w:name w:val="heading 3"/>
    <w:basedOn w:val="Normal"/>
    <w:next w:val="Normal"/>
    <w:link w:val="Heading3Char"/>
    <w:uiPriority w:val="9"/>
    <w:semiHidden/>
    <w:unhideWhenUsed/>
    <w:qFormat/>
    <w:rsid w:val="00FD60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C2"/>
  </w:style>
  <w:style w:type="paragraph" w:styleId="Footer">
    <w:name w:val="footer"/>
    <w:basedOn w:val="Normal"/>
    <w:link w:val="FooterChar"/>
    <w:uiPriority w:val="99"/>
    <w:unhideWhenUsed/>
    <w:rsid w:val="0039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C2"/>
  </w:style>
  <w:style w:type="character" w:customStyle="1" w:styleId="Heading2Char">
    <w:name w:val="Heading 2 Char"/>
    <w:basedOn w:val="DefaultParagraphFont"/>
    <w:link w:val="Heading2"/>
    <w:uiPriority w:val="9"/>
    <w:rsid w:val="00FF3A34"/>
    <w:rPr>
      <w:rFonts w:ascii="Times New Roman" w:hAnsi="Times New Roman" w:cs="Times New Roman"/>
      <w:b/>
    </w:rPr>
  </w:style>
  <w:style w:type="paragraph" w:styleId="NoSpacing">
    <w:name w:val="No Spacing"/>
    <w:uiPriority w:val="1"/>
    <w:qFormat/>
    <w:rsid w:val="00426BB6"/>
    <w:pPr>
      <w:spacing w:after="0" w:line="240" w:lineRule="auto"/>
    </w:pPr>
  </w:style>
  <w:style w:type="character" w:styleId="PlaceholderText">
    <w:name w:val="Placeholder Text"/>
    <w:basedOn w:val="DefaultParagraphFont"/>
    <w:uiPriority w:val="99"/>
    <w:semiHidden/>
    <w:rsid w:val="00426BB6"/>
    <w:rPr>
      <w:color w:val="808080"/>
    </w:rPr>
  </w:style>
  <w:style w:type="paragraph" w:styleId="FootnoteText">
    <w:name w:val="footnote text"/>
    <w:basedOn w:val="Normal"/>
    <w:link w:val="FootnoteTextChar"/>
    <w:uiPriority w:val="99"/>
    <w:semiHidden/>
    <w:unhideWhenUsed/>
    <w:rsid w:val="00E8475C"/>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E8475C"/>
    <w:rPr>
      <w:rFonts w:ascii="Calibri" w:hAnsi="Calibri" w:cs="Times New Roman"/>
      <w:sz w:val="20"/>
      <w:szCs w:val="20"/>
    </w:rPr>
  </w:style>
  <w:style w:type="character" w:styleId="FootnoteReference">
    <w:name w:val="footnote reference"/>
    <w:basedOn w:val="DefaultParagraphFont"/>
    <w:uiPriority w:val="99"/>
    <w:semiHidden/>
    <w:unhideWhenUsed/>
    <w:rsid w:val="00E8475C"/>
    <w:rPr>
      <w:vertAlign w:val="superscript"/>
    </w:rPr>
  </w:style>
  <w:style w:type="paragraph" w:styleId="ListParagraph">
    <w:name w:val="List Paragraph"/>
    <w:basedOn w:val="Normal"/>
    <w:uiPriority w:val="34"/>
    <w:qFormat/>
    <w:rsid w:val="006724E9"/>
    <w:pPr>
      <w:ind w:left="720"/>
      <w:contextualSpacing/>
    </w:pPr>
  </w:style>
  <w:style w:type="character" w:styleId="Hyperlink">
    <w:name w:val="Hyperlink"/>
    <w:basedOn w:val="DefaultParagraphFont"/>
    <w:uiPriority w:val="99"/>
    <w:unhideWhenUsed/>
    <w:rsid w:val="007F32B8"/>
    <w:rPr>
      <w:color w:val="8E6F3E"/>
      <w:u w:val="single"/>
    </w:rPr>
  </w:style>
  <w:style w:type="paragraph" w:styleId="BalloonText">
    <w:name w:val="Balloon Text"/>
    <w:basedOn w:val="Normal"/>
    <w:link w:val="BalloonTextChar"/>
    <w:uiPriority w:val="99"/>
    <w:semiHidden/>
    <w:unhideWhenUsed/>
    <w:rsid w:val="00E4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F47"/>
    <w:rPr>
      <w:rFonts w:ascii="Tahoma" w:hAnsi="Tahoma" w:cs="Tahoma"/>
      <w:sz w:val="16"/>
      <w:szCs w:val="16"/>
    </w:rPr>
  </w:style>
  <w:style w:type="table" w:styleId="TableGrid">
    <w:name w:val="Table Grid"/>
    <w:basedOn w:val="TableNormal"/>
    <w:uiPriority w:val="39"/>
    <w:rsid w:val="0040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40D9"/>
    <w:rPr>
      <w:sz w:val="16"/>
      <w:szCs w:val="16"/>
    </w:rPr>
  </w:style>
  <w:style w:type="paragraph" w:styleId="CommentText">
    <w:name w:val="annotation text"/>
    <w:basedOn w:val="Normal"/>
    <w:link w:val="CommentTextChar"/>
    <w:uiPriority w:val="99"/>
    <w:unhideWhenUsed/>
    <w:rsid w:val="008D40D9"/>
    <w:pPr>
      <w:spacing w:line="240" w:lineRule="auto"/>
    </w:pPr>
    <w:rPr>
      <w:sz w:val="20"/>
      <w:szCs w:val="20"/>
    </w:rPr>
  </w:style>
  <w:style w:type="character" w:customStyle="1" w:styleId="CommentTextChar">
    <w:name w:val="Comment Text Char"/>
    <w:basedOn w:val="DefaultParagraphFont"/>
    <w:link w:val="CommentText"/>
    <w:uiPriority w:val="99"/>
    <w:rsid w:val="008D40D9"/>
    <w:rPr>
      <w:sz w:val="20"/>
      <w:szCs w:val="20"/>
    </w:rPr>
  </w:style>
  <w:style w:type="paragraph" w:styleId="CommentSubject">
    <w:name w:val="annotation subject"/>
    <w:basedOn w:val="CommentText"/>
    <w:next w:val="CommentText"/>
    <w:link w:val="CommentSubjectChar"/>
    <w:uiPriority w:val="99"/>
    <w:semiHidden/>
    <w:unhideWhenUsed/>
    <w:rsid w:val="008D40D9"/>
    <w:rPr>
      <w:b/>
      <w:bCs/>
    </w:rPr>
  </w:style>
  <w:style w:type="character" w:customStyle="1" w:styleId="CommentSubjectChar">
    <w:name w:val="Comment Subject Char"/>
    <w:basedOn w:val="CommentTextChar"/>
    <w:link w:val="CommentSubject"/>
    <w:uiPriority w:val="99"/>
    <w:semiHidden/>
    <w:rsid w:val="008D40D9"/>
    <w:rPr>
      <w:b/>
      <w:bCs/>
      <w:sz w:val="20"/>
      <w:szCs w:val="20"/>
    </w:rPr>
  </w:style>
  <w:style w:type="character" w:customStyle="1" w:styleId="ui-text">
    <w:name w:val="ui-text"/>
    <w:basedOn w:val="DefaultParagraphFont"/>
    <w:rsid w:val="00A840E4"/>
  </w:style>
  <w:style w:type="character" w:customStyle="1" w:styleId="Heading1Char">
    <w:name w:val="Heading 1 Char"/>
    <w:basedOn w:val="DefaultParagraphFont"/>
    <w:link w:val="Heading1"/>
    <w:uiPriority w:val="9"/>
    <w:rsid w:val="006D04F0"/>
    <w:rPr>
      <w:rFonts w:ascii="Calibri" w:eastAsiaTheme="majorEastAsia" w:hAnsi="Calibri" w:cstheme="majorBidi"/>
      <w:b/>
      <w:sz w:val="26"/>
      <w:szCs w:val="32"/>
    </w:rPr>
  </w:style>
  <w:style w:type="character" w:styleId="FollowedHyperlink">
    <w:name w:val="FollowedHyperlink"/>
    <w:basedOn w:val="DefaultParagraphFont"/>
    <w:uiPriority w:val="99"/>
    <w:semiHidden/>
    <w:unhideWhenUsed/>
    <w:rsid w:val="007F32B8"/>
    <w:rPr>
      <w:color w:val="8E6F3E"/>
      <w:u w:val="single"/>
    </w:rPr>
  </w:style>
  <w:style w:type="character" w:customStyle="1" w:styleId="Heading3Char">
    <w:name w:val="Heading 3 Char"/>
    <w:basedOn w:val="DefaultParagraphFont"/>
    <w:link w:val="Heading3"/>
    <w:uiPriority w:val="9"/>
    <w:semiHidden/>
    <w:rsid w:val="00FD60EE"/>
    <w:rPr>
      <w:rFonts w:asciiTheme="majorHAnsi" w:eastAsiaTheme="majorEastAsia" w:hAnsiTheme="majorHAnsi" w:cstheme="majorBidi"/>
      <w:color w:val="1F4D78" w:themeColor="accent1" w:themeShade="7F"/>
      <w:sz w:val="24"/>
      <w:szCs w:val="24"/>
    </w:rPr>
  </w:style>
  <w:style w:type="paragraph" w:customStyle="1" w:styleId="DataTable">
    <w:name w:val="Data Table"/>
    <w:basedOn w:val="Normal"/>
    <w:link w:val="DataTableChar"/>
    <w:autoRedefine/>
    <w:qFormat/>
    <w:rsid w:val="00FD60EE"/>
    <w:pPr>
      <w:spacing w:after="0"/>
    </w:pPr>
    <w:rPr>
      <w:rFonts w:ascii="Franklin Gothic Book" w:eastAsiaTheme="minorEastAsia" w:hAnsi="Franklin Gothic Book"/>
      <w:bCs/>
      <w:szCs w:val="48"/>
    </w:rPr>
  </w:style>
  <w:style w:type="character" w:customStyle="1" w:styleId="DataTableChar">
    <w:name w:val="Data Table Char"/>
    <w:basedOn w:val="DefaultParagraphFont"/>
    <w:link w:val="DataTable"/>
    <w:rsid w:val="00FD60EE"/>
    <w:rPr>
      <w:rFonts w:ascii="Franklin Gothic Book" w:eastAsiaTheme="minorEastAsia" w:hAnsi="Franklin Gothic Book"/>
      <w:bCs/>
      <w:szCs w:val="48"/>
    </w:rPr>
  </w:style>
  <w:style w:type="table" w:styleId="TableGridLight">
    <w:name w:val="Grid Table Light"/>
    <w:basedOn w:val="TableNormal"/>
    <w:uiPriority w:val="40"/>
    <w:rsid w:val="00BF6E00"/>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E2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546">
      <w:bodyDiv w:val="1"/>
      <w:marLeft w:val="0"/>
      <w:marRight w:val="0"/>
      <w:marTop w:val="0"/>
      <w:marBottom w:val="0"/>
      <w:divBdr>
        <w:top w:val="none" w:sz="0" w:space="0" w:color="auto"/>
        <w:left w:val="none" w:sz="0" w:space="0" w:color="auto"/>
        <w:bottom w:val="none" w:sz="0" w:space="0" w:color="auto"/>
        <w:right w:val="none" w:sz="0" w:space="0" w:color="auto"/>
      </w:divBdr>
    </w:div>
    <w:div w:id="83383535">
      <w:bodyDiv w:val="1"/>
      <w:marLeft w:val="0"/>
      <w:marRight w:val="0"/>
      <w:marTop w:val="0"/>
      <w:marBottom w:val="0"/>
      <w:divBdr>
        <w:top w:val="none" w:sz="0" w:space="0" w:color="auto"/>
        <w:left w:val="none" w:sz="0" w:space="0" w:color="auto"/>
        <w:bottom w:val="none" w:sz="0" w:space="0" w:color="auto"/>
        <w:right w:val="none" w:sz="0" w:space="0" w:color="auto"/>
      </w:divBdr>
    </w:div>
    <w:div w:id="238365890">
      <w:bodyDiv w:val="1"/>
      <w:marLeft w:val="0"/>
      <w:marRight w:val="0"/>
      <w:marTop w:val="0"/>
      <w:marBottom w:val="0"/>
      <w:divBdr>
        <w:top w:val="none" w:sz="0" w:space="0" w:color="auto"/>
        <w:left w:val="none" w:sz="0" w:space="0" w:color="auto"/>
        <w:bottom w:val="none" w:sz="0" w:space="0" w:color="auto"/>
        <w:right w:val="none" w:sz="0" w:space="0" w:color="auto"/>
      </w:divBdr>
    </w:div>
    <w:div w:id="514349726">
      <w:bodyDiv w:val="1"/>
      <w:marLeft w:val="0"/>
      <w:marRight w:val="0"/>
      <w:marTop w:val="0"/>
      <w:marBottom w:val="0"/>
      <w:divBdr>
        <w:top w:val="none" w:sz="0" w:space="0" w:color="auto"/>
        <w:left w:val="none" w:sz="0" w:space="0" w:color="auto"/>
        <w:bottom w:val="none" w:sz="0" w:space="0" w:color="auto"/>
        <w:right w:val="none" w:sz="0" w:space="0" w:color="auto"/>
      </w:divBdr>
    </w:div>
    <w:div w:id="742214488">
      <w:bodyDiv w:val="1"/>
      <w:marLeft w:val="0"/>
      <w:marRight w:val="0"/>
      <w:marTop w:val="0"/>
      <w:marBottom w:val="0"/>
      <w:divBdr>
        <w:top w:val="none" w:sz="0" w:space="0" w:color="auto"/>
        <w:left w:val="none" w:sz="0" w:space="0" w:color="auto"/>
        <w:bottom w:val="none" w:sz="0" w:space="0" w:color="auto"/>
        <w:right w:val="none" w:sz="0" w:space="0" w:color="auto"/>
      </w:divBdr>
    </w:div>
    <w:div w:id="802577699">
      <w:bodyDiv w:val="1"/>
      <w:marLeft w:val="0"/>
      <w:marRight w:val="0"/>
      <w:marTop w:val="0"/>
      <w:marBottom w:val="0"/>
      <w:divBdr>
        <w:top w:val="none" w:sz="0" w:space="0" w:color="auto"/>
        <w:left w:val="none" w:sz="0" w:space="0" w:color="auto"/>
        <w:bottom w:val="none" w:sz="0" w:space="0" w:color="auto"/>
        <w:right w:val="none" w:sz="0" w:space="0" w:color="auto"/>
      </w:divBdr>
    </w:div>
    <w:div w:id="824005087">
      <w:bodyDiv w:val="1"/>
      <w:marLeft w:val="0"/>
      <w:marRight w:val="0"/>
      <w:marTop w:val="0"/>
      <w:marBottom w:val="0"/>
      <w:divBdr>
        <w:top w:val="none" w:sz="0" w:space="0" w:color="auto"/>
        <w:left w:val="none" w:sz="0" w:space="0" w:color="auto"/>
        <w:bottom w:val="none" w:sz="0" w:space="0" w:color="auto"/>
        <w:right w:val="none" w:sz="0" w:space="0" w:color="auto"/>
      </w:divBdr>
    </w:div>
    <w:div w:id="887378646">
      <w:bodyDiv w:val="1"/>
      <w:marLeft w:val="0"/>
      <w:marRight w:val="0"/>
      <w:marTop w:val="0"/>
      <w:marBottom w:val="0"/>
      <w:divBdr>
        <w:top w:val="none" w:sz="0" w:space="0" w:color="auto"/>
        <w:left w:val="none" w:sz="0" w:space="0" w:color="auto"/>
        <w:bottom w:val="none" w:sz="0" w:space="0" w:color="auto"/>
        <w:right w:val="none" w:sz="0" w:space="0" w:color="auto"/>
      </w:divBdr>
    </w:div>
    <w:div w:id="915941736">
      <w:bodyDiv w:val="1"/>
      <w:marLeft w:val="0"/>
      <w:marRight w:val="0"/>
      <w:marTop w:val="0"/>
      <w:marBottom w:val="0"/>
      <w:divBdr>
        <w:top w:val="none" w:sz="0" w:space="0" w:color="auto"/>
        <w:left w:val="none" w:sz="0" w:space="0" w:color="auto"/>
        <w:bottom w:val="none" w:sz="0" w:space="0" w:color="auto"/>
        <w:right w:val="none" w:sz="0" w:space="0" w:color="auto"/>
      </w:divBdr>
    </w:div>
    <w:div w:id="1101997238">
      <w:bodyDiv w:val="1"/>
      <w:marLeft w:val="0"/>
      <w:marRight w:val="0"/>
      <w:marTop w:val="0"/>
      <w:marBottom w:val="0"/>
      <w:divBdr>
        <w:top w:val="none" w:sz="0" w:space="0" w:color="auto"/>
        <w:left w:val="none" w:sz="0" w:space="0" w:color="auto"/>
        <w:bottom w:val="none" w:sz="0" w:space="0" w:color="auto"/>
        <w:right w:val="none" w:sz="0" w:space="0" w:color="auto"/>
      </w:divBdr>
    </w:div>
    <w:div w:id="1310749030">
      <w:bodyDiv w:val="1"/>
      <w:marLeft w:val="0"/>
      <w:marRight w:val="0"/>
      <w:marTop w:val="0"/>
      <w:marBottom w:val="0"/>
      <w:divBdr>
        <w:top w:val="none" w:sz="0" w:space="0" w:color="auto"/>
        <w:left w:val="none" w:sz="0" w:space="0" w:color="auto"/>
        <w:bottom w:val="none" w:sz="0" w:space="0" w:color="auto"/>
        <w:right w:val="none" w:sz="0" w:space="0" w:color="auto"/>
      </w:divBdr>
    </w:div>
    <w:div w:id="1424112381">
      <w:bodyDiv w:val="1"/>
      <w:marLeft w:val="0"/>
      <w:marRight w:val="0"/>
      <w:marTop w:val="0"/>
      <w:marBottom w:val="0"/>
      <w:divBdr>
        <w:top w:val="none" w:sz="0" w:space="0" w:color="auto"/>
        <w:left w:val="none" w:sz="0" w:space="0" w:color="auto"/>
        <w:bottom w:val="none" w:sz="0" w:space="0" w:color="auto"/>
        <w:right w:val="none" w:sz="0" w:space="0" w:color="auto"/>
      </w:divBdr>
    </w:div>
    <w:div w:id="1535264223">
      <w:bodyDiv w:val="1"/>
      <w:marLeft w:val="0"/>
      <w:marRight w:val="0"/>
      <w:marTop w:val="0"/>
      <w:marBottom w:val="0"/>
      <w:divBdr>
        <w:top w:val="none" w:sz="0" w:space="0" w:color="auto"/>
        <w:left w:val="none" w:sz="0" w:space="0" w:color="auto"/>
        <w:bottom w:val="none" w:sz="0" w:space="0" w:color="auto"/>
        <w:right w:val="none" w:sz="0" w:space="0" w:color="auto"/>
      </w:divBdr>
    </w:div>
    <w:div w:id="1910574304">
      <w:bodyDiv w:val="1"/>
      <w:marLeft w:val="0"/>
      <w:marRight w:val="0"/>
      <w:marTop w:val="0"/>
      <w:marBottom w:val="0"/>
      <w:divBdr>
        <w:top w:val="none" w:sz="0" w:space="0" w:color="auto"/>
        <w:left w:val="none" w:sz="0" w:space="0" w:color="auto"/>
        <w:bottom w:val="none" w:sz="0" w:space="0" w:color="auto"/>
        <w:right w:val="none" w:sz="0" w:space="0" w:color="auto"/>
      </w:divBdr>
    </w:div>
    <w:div w:id="1963149936">
      <w:bodyDiv w:val="1"/>
      <w:marLeft w:val="0"/>
      <w:marRight w:val="0"/>
      <w:marTop w:val="0"/>
      <w:marBottom w:val="0"/>
      <w:divBdr>
        <w:top w:val="none" w:sz="0" w:space="0" w:color="auto"/>
        <w:left w:val="none" w:sz="0" w:space="0" w:color="auto"/>
        <w:bottom w:val="none" w:sz="0" w:space="0" w:color="auto"/>
        <w:right w:val="none" w:sz="0" w:space="0" w:color="auto"/>
      </w:divBdr>
    </w:div>
    <w:div w:id="2021393768">
      <w:bodyDiv w:val="1"/>
      <w:marLeft w:val="0"/>
      <w:marRight w:val="0"/>
      <w:marTop w:val="0"/>
      <w:marBottom w:val="0"/>
      <w:divBdr>
        <w:top w:val="none" w:sz="0" w:space="0" w:color="auto"/>
        <w:left w:val="none" w:sz="0" w:space="0" w:color="auto"/>
        <w:bottom w:val="none" w:sz="0" w:space="0" w:color="auto"/>
        <w:right w:val="none" w:sz="0" w:space="0" w:color="auto"/>
      </w:divBdr>
    </w:div>
    <w:div w:id="2054765615">
      <w:bodyDiv w:val="1"/>
      <w:marLeft w:val="0"/>
      <w:marRight w:val="0"/>
      <w:marTop w:val="0"/>
      <w:marBottom w:val="0"/>
      <w:divBdr>
        <w:top w:val="none" w:sz="0" w:space="0" w:color="auto"/>
        <w:left w:val="none" w:sz="0" w:space="0" w:color="auto"/>
        <w:bottom w:val="none" w:sz="0" w:space="0" w:color="auto"/>
        <w:right w:val="none" w:sz="0" w:space="0" w:color="auto"/>
      </w:divBdr>
    </w:div>
    <w:div w:id="2115050098">
      <w:bodyDiv w:val="1"/>
      <w:marLeft w:val="0"/>
      <w:marRight w:val="0"/>
      <w:marTop w:val="0"/>
      <w:marBottom w:val="0"/>
      <w:divBdr>
        <w:top w:val="none" w:sz="0" w:space="0" w:color="auto"/>
        <w:left w:val="none" w:sz="0" w:space="0" w:color="auto"/>
        <w:bottom w:val="none" w:sz="0" w:space="0" w:color="auto"/>
        <w:right w:val="none" w:sz="0" w:space="0" w:color="auto"/>
      </w:divBdr>
    </w:div>
    <w:div w:id="211636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urdue.edu/vpsl/leadership/" TargetMode="External"/><Relationship Id="rId18" Type="http://schemas.openxmlformats.org/officeDocument/2006/relationships/chart" Target="charts/chart1.xml"/><Relationship Id="rId26" Type="http://schemas.microsoft.com/office/2020/10/relationships/intelligence" Target="intelligence2.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dmissions.purdue.edu/"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urdue.edu/studentsuccess/basicnee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rdue.edu/horizon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atamine.purdue.edu/" TargetMode="External"/><Relationship Id="rId23" Type="http://schemas.openxmlformats.org/officeDocument/2006/relationships/footer" Target="footer2.xml"/><Relationship Id="rId10" Type="http://schemas.openxmlformats.org/officeDocument/2006/relationships/hyperlink" Target="https://www.purdue.edu/campuses/indianapoli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purdue.edu/purduepromise/" TargetMode="External"/><Relationship Id="rId14" Type="http://schemas.openxmlformats.org/officeDocument/2006/relationships/hyperlink" Target="https://www.cco.purdue.ed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nas01.itap.purdue.edu\csds_ssp\Shared\Assessment%20Evaluation%20and%20Communications\PuP\Annual%20Charts\PuP%20Cohort%20Demographic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Franklin Gothic Book" panose="020B0503020102020204" pitchFamily="34" charset="0"/>
                <a:ea typeface="+mn-ea"/>
                <a:cs typeface="+mn-cs"/>
              </a:defRPr>
            </a:pPr>
            <a:r>
              <a:rPr lang="en-US"/>
              <a:t>Percent First-Generation Students by FTFT Cohorts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Sheet1!$B$51</c:f>
              <c:strCache>
                <c:ptCount val="1"/>
                <c:pt idx="0">
                  <c:v>PuP</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Sheet1!$A$57:$A$67</c:f>
              <c:strCache>
                <c:ptCount val="11"/>
                <c:pt idx="0">
                  <c:v>Fall 2014</c:v>
                </c:pt>
                <c:pt idx="1">
                  <c:v>Fall 2015</c:v>
                </c:pt>
                <c:pt idx="2">
                  <c:v>Fall 2016</c:v>
                </c:pt>
                <c:pt idx="3">
                  <c:v>Fall 2017</c:v>
                </c:pt>
                <c:pt idx="4">
                  <c:v>Fall 2018</c:v>
                </c:pt>
                <c:pt idx="5">
                  <c:v>Fall 2019</c:v>
                </c:pt>
                <c:pt idx="6">
                  <c:v>Fall 2020</c:v>
                </c:pt>
                <c:pt idx="7">
                  <c:v>Fall 2021</c:v>
                </c:pt>
                <c:pt idx="8">
                  <c:v>Fall 2022</c:v>
                </c:pt>
                <c:pt idx="9">
                  <c:v>Fall 2023</c:v>
                </c:pt>
                <c:pt idx="10">
                  <c:v>Fall 2024</c:v>
                </c:pt>
              </c:strCache>
              <c:extLst/>
            </c:strRef>
          </c:cat>
          <c:val>
            <c:numRef>
              <c:f>Sheet1!$B$57:$B$67</c:f>
              <c:numCache>
                <c:formatCode>0.0%</c:formatCode>
                <c:ptCount val="11"/>
                <c:pt idx="0">
                  <c:v>0.5</c:v>
                </c:pt>
                <c:pt idx="1">
                  <c:v>0.72622478386167144</c:v>
                </c:pt>
                <c:pt idx="2">
                  <c:v>0.66558441558441561</c:v>
                </c:pt>
                <c:pt idx="3">
                  <c:v>0.5786516853932584</c:v>
                </c:pt>
                <c:pt idx="4">
                  <c:v>0.5847</c:v>
                </c:pt>
                <c:pt idx="5">
                  <c:v>0.63700000000000001</c:v>
                </c:pt>
                <c:pt idx="6">
                  <c:v>0.6825</c:v>
                </c:pt>
                <c:pt idx="7">
                  <c:v>0.66790000000000005</c:v>
                </c:pt>
                <c:pt idx="8">
                  <c:v>0.64925373134328357</c:v>
                </c:pt>
                <c:pt idx="9">
                  <c:v>0.69199999999999995</c:v>
                </c:pt>
                <c:pt idx="10">
                  <c:v>0.71879999999999999</c:v>
                </c:pt>
              </c:numCache>
              <c:extLst/>
            </c:numRef>
          </c:val>
          <c:extLst>
            <c:ext xmlns:c16="http://schemas.microsoft.com/office/drawing/2014/chart" uri="{C3380CC4-5D6E-409C-BE32-E72D297353CC}">
              <c16:uniqueId val="{00000000-8F4A-4181-84E6-B4FC34A4DFC3}"/>
            </c:ext>
          </c:extLst>
        </c:ser>
        <c:ser>
          <c:idx val="1"/>
          <c:order val="1"/>
          <c:tx>
            <c:strRef>
              <c:f>Sheet1!$C$51</c:f>
              <c:strCache>
                <c:ptCount val="1"/>
                <c:pt idx="0">
                  <c:v>Undergrad Indiana Residents</c:v>
                </c:pt>
              </c:strCache>
            </c:strRef>
          </c:tx>
          <c:spPr>
            <a:solidFill>
              <a:schemeClr val="tx1"/>
            </a:solidFill>
            <a:ln>
              <a:noFill/>
            </a:ln>
            <a:effectLst/>
          </c:spPr>
          <c:invertIfNegative val="0"/>
          <c:dLbls>
            <c:dLbl>
              <c:idx val="0"/>
              <c:layout>
                <c:manualLayout>
                  <c:x val="2.5000000000000001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4A-4181-84E6-B4FC34A4DFC3}"/>
                </c:ext>
              </c:extLst>
            </c:dLbl>
            <c:dLbl>
              <c:idx val="1"/>
              <c:layout>
                <c:manualLayout>
                  <c:x val="1.666666666666666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4A-4181-84E6-B4FC34A4DFC3}"/>
                </c:ext>
              </c:extLst>
            </c:dLbl>
            <c:dLbl>
              <c:idx val="2"/>
              <c:layout>
                <c:manualLayout>
                  <c:x val="1.6666666666666767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4A-4181-84E6-B4FC34A4DFC3}"/>
                </c:ext>
              </c:extLst>
            </c:dLbl>
            <c:dLbl>
              <c:idx val="3"/>
              <c:layout>
                <c:manualLayout>
                  <c:x val="1.61067727156060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4A-4181-84E6-B4FC34A4DFC3}"/>
                </c:ext>
              </c:extLst>
            </c:dLbl>
            <c:dLbl>
              <c:idx val="4"/>
              <c:layout>
                <c:manualLayout>
                  <c:x val="2.2480329711502253E-2"/>
                  <c:y val="-7.53519175813760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4A-4181-84E6-B4FC34A4DFC3}"/>
                </c:ext>
              </c:extLst>
            </c:dLbl>
            <c:dLbl>
              <c:idx val="5"/>
              <c:layout>
                <c:manualLayout>
                  <c:x val="1.49868864743347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4A-4181-84E6-B4FC34A4DFC3}"/>
                </c:ext>
              </c:extLst>
            </c:dLbl>
            <c:dLbl>
              <c:idx val="6"/>
              <c:layout>
                <c:manualLayout>
                  <c:x val="1.7484700886724117E-2"/>
                  <c:y val="-8.24701824001295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4A-4181-84E6-B4FC34A4DFC3}"/>
                </c:ext>
              </c:extLst>
            </c:dLbl>
            <c:dLbl>
              <c:idx val="7"/>
              <c:layout>
                <c:manualLayout>
                  <c:x val="1.4986886474334956E-2"/>
                  <c:y val="-4.498425551057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F4A-4181-84E6-B4FC34A4DFC3}"/>
                </c:ext>
              </c:extLst>
            </c:dLbl>
            <c:dLbl>
              <c:idx val="8"/>
              <c:layout>
                <c:manualLayout>
                  <c:x val="1.880288310874334E-2"/>
                  <c:y val="-4.07331975560081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4A-4181-84E6-B4FC34A4DFC3}"/>
                </c:ext>
              </c:extLst>
            </c:dLbl>
            <c:dLbl>
              <c:idx val="9"/>
              <c:layout>
                <c:manualLayout>
                  <c:x val="1.880288310874334E-2"/>
                  <c:y val="-1.629327902240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4A-4181-84E6-B4FC34A4DFC3}"/>
                </c:ext>
              </c:extLst>
            </c:dLbl>
            <c:dLbl>
              <c:idx val="10"/>
              <c:layout>
                <c:manualLayout>
                  <c:x val="1.8802883108743187E-2"/>
                  <c:y val="-1.629327902240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4A-4181-84E6-B4FC34A4DFC3}"/>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Franklin Gothic Book" panose="020B05030201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Sheet1!$A$57:$A$67</c:f>
              <c:strCache>
                <c:ptCount val="11"/>
                <c:pt idx="0">
                  <c:v>Fall 2014</c:v>
                </c:pt>
                <c:pt idx="1">
                  <c:v>Fall 2015</c:v>
                </c:pt>
                <c:pt idx="2">
                  <c:v>Fall 2016</c:v>
                </c:pt>
                <c:pt idx="3">
                  <c:v>Fall 2017</c:v>
                </c:pt>
                <c:pt idx="4">
                  <c:v>Fall 2018</c:v>
                </c:pt>
                <c:pt idx="5">
                  <c:v>Fall 2019</c:v>
                </c:pt>
                <c:pt idx="6">
                  <c:v>Fall 2020</c:v>
                </c:pt>
                <c:pt idx="7">
                  <c:v>Fall 2021</c:v>
                </c:pt>
                <c:pt idx="8">
                  <c:v>Fall 2022</c:v>
                </c:pt>
                <c:pt idx="9">
                  <c:v>Fall 2023</c:v>
                </c:pt>
                <c:pt idx="10">
                  <c:v>Fall 2024</c:v>
                </c:pt>
              </c:strCache>
              <c:extLst/>
            </c:strRef>
          </c:cat>
          <c:val>
            <c:numRef>
              <c:f>Sheet1!$C$57:$C$67</c:f>
              <c:numCache>
                <c:formatCode>0.0%</c:formatCode>
                <c:ptCount val="11"/>
                <c:pt idx="0">
                  <c:v>0.20369249394673122</c:v>
                </c:pt>
                <c:pt idx="1">
                  <c:v>0.30832389580973951</c:v>
                </c:pt>
                <c:pt idx="2">
                  <c:v>0.28511309836927934</c:v>
                </c:pt>
                <c:pt idx="3">
                  <c:v>0.24724602203182375</c:v>
                </c:pt>
                <c:pt idx="4">
                  <c:v>0.24099999999999999</c:v>
                </c:pt>
                <c:pt idx="5">
                  <c:v>0.23400000000000001</c:v>
                </c:pt>
                <c:pt idx="6">
                  <c:v>0.22940000000000002</c:v>
                </c:pt>
                <c:pt idx="7">
                  <c:v>0.222</c:v>
                </c:pt>
                <c:pt idx="8">
                  <c:v>0.23427230046948358</c:v>
                </c:pt>
                <c:pt idx="9">
                  <c:v>0.23100000000000001</c:v>
                </c:pt>
                <c:pt idx="10">
                  <c:v>0.224</c:v>
                </c:pt>
              </c:numCache>
              <c:extLst/>
            </c:numRef>
          </c:val>
          <c:extLst>
            <c:ext xmlns:c16="http://schemas.microsoft.com/office/drawing/2014/chart" uri="{C3380CC4-5D6E-409C-BE32-E72D297353CC}">
              <c16:uniqueId val="{0000000C-8F4A-4181-84E6-B4FC34A4DFC3}"/>
            </c:ext>
          </c:extLst>
        </c:ser>
        <c:dLbls>
          <c:showLegendKey val="0"/>
          <c:showVal val="0"/>
          <c:showCatName val="0"/>
          <c:showSerName val="0"/>
          <c:showPercent val="0"/>
          <c:showBubbleSize val="0"/>
        </c:dLbls>
        <c:gapWidth val="219"/>
        <c:overlap val="-27"/>
        <c:axId val="519489080"/>
        <c:axId val="519489408"/>
      </c:barChart>
      <c:catAx>
        <c:axId val="51948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ranklin Gothic Book" panose="020B0503020102020204" pitchFamily="34" charset="0"/>
                <a:ea typeface="+mn-ea"/>
                <a:cs typeface="+mn-cs"/>
              </a:defRPr>
            </a:pPr>
            <a:endParaRPr lang="en-US"/>
          </a:p>
        </c:txPr>
        <c:crossAx val="519489408"/>
        <c:crosses val="autoZero"/>
        <c:auto val="1"/>
        <c:lblAlgn val="ctr"/>
        <c:lblOffset val="100"/>
        <c:noMultiLvlLbl val="0"/>
      </c:catAx>
      <c:valAx>
        <c:axId val="519489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Franklin Gothic Book" panose="020B0503020102020204" pitchFamily="34" charset="0"/>
                <a:ea typeface="+mn-ea"/>
                <a:cs typeface="+mn-cs"/>
              </a:defRPr>
            </a:pPr>
            <a:endParaRPr lang="en-US"/>
          </a:p>
        </c:txPr>
        <c:crossAx val="519489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Franklin Gothic Book" panose="020B05030201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Franklin Gothic Book" panose="020B05030201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4D0867-CCAB-4D55-A6ED-DF2DBDF5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9</Pages>
  <Words>2901</Words>
  <Characters>16542</Characters>
  <Application>Microsoft Office Word</Application>
  <DocSecurity>2</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Mattingly, Andrea L</dc:creator>
  <cp:keywords/>
  <dc:description/>
  <cp:lastModifiedBy>Margaret Catherine O'Connor</cp:lastModifiedBy>
  <cp:revision>87</cp:revision>
  <cp:lastPrinted>2025-11-07T17:11:00Z</cp:lastPrinted>
  <dcterms:created xsi:type="dcterms:W3CDTF">2023-10-20T19:23:00Z</dcterms:created>
  <dcterms:modified xsi:type="dcterms:W3CDTF">2025-12-03T19:34:00Z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2023-10-20T19:23:45Z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d279f622-f4c1-4619-9b25-01a04dbd9255</vt:lpwstr>
  </property>
  <property fmtid="{D5CDD505-2E9C-101B-9397-08002B2CF9AE}" pid="8" name="MSIP_Label_4044bd30-2ed7-4c9d-9d12-46200872a97b_ContentBits">
    <vt:lpwstr>0</vt:lpwstr>
  </property>
</Properties>
</file>